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58.png" ContentType="image/png"/>
  <Override PartName="/word/media/rId39.png" ContentType="image/png"/>
  <Override PartName="/word/media/rId23.png" ContentType="image/png"/>
  <Override PartName="/word/media/rId62.png" ContentType="image/png"/>
  <Override PartName="/word/media/rId66.png" ContentType="image/png"/>
  <Override PartName="/word/media/rId54.png" ContentType="image/png"/>
  <Override PartName="/word/media/rId79.png" ContentType="image/png"/>
  <Override PartName="/word/media/rId75.png" ContentType="image/png"/>
  <Override PartName="/word/media/rId33.png" ContentType="image/png"/>
  <Override PartName="/word/media/rId71.png" ContentType="image/png"/>
  <Override PartName="/word/media/rId8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Yi Zhe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Li Hao</w:t>
      </w:r>
      <w:r>
        <w:rPr>
          <w:vertAlign w:val="superscript"/>
        </w:rPr>
        <w:t xml:space="preserve">2</w:t>
      </w:r>
      <w:r>
        <w:t xml:space="preserve">,</w:t>
      </w:r>
      <w:r>
        <w:t xml:space="preserve"> </w:t>
      </w:r>
      <w:r>
        <w:t xml:space="preserve">and</w:t>
      </w:r>
      <w:r>
        <w:t xml:space="preserve"> </w:t>
      </w:r>
      <w:r>
        <w:t xml:space="preserve">Shuwen Pei</w:t>
      </w:r>
      <w:r>
        <w:rPr>
          <w:vertAlign w:val="superscript"/>
        </w:rPr>
        <w:t xml:space="preserve">2</w:t>
      </w:r>
    </w:p>
    <w:p>
      <w:pPr>
        <w:pStyle w:val="Date"/>
      </w:pPr>
      <w:r>
        <w:t xml:space="preserve">August</w:t>
      </w:r>
      <w:r>
        <w:t xml:space="preserve"> </w:t>
      </w:r>
      <w:r>
        <w:t xml:space="preserve">13,</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Institute of Vertebrate Palaeontology and Paleoanthropology, Chinese Academy of Science, Beijing, China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Yi Zhe &lt;yezhi@ivpp.ac.cn&gt;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8"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(Cabanès et al., 2024; Willoughby, 1985)</w:t>
      </w:r>
      <w:r>
        <w:t xml:space="preserve">. Early descriptions of spheroids were provided by</w:t>
      </w:r>
      <w:r>
        <w:t xml:space="preserve"> </w:t>
      </w:r>
      <w:r>
        <w:t xml:space="preserve">Clark (1955)</w:t>
      </w:r>
      <w:r>
        <w:t xml:space="preserve"> </w:t>
      </w:r>
      <w:r>
        <w:t xml:space="preserve">and</w:t>
      </w:r>
      <w:r>
        <w:t xml:space="preserve"> </w:t>
      </w:r>
      <w:r>
        <w:t xml:space="preserve">Kleindienst (1962)</w:t>
      </w:r>
      <w:r>
        <w:t xml:space="preserve">, and</w:t>
      </w:r>
      <w:r>
        <w:t xml:space="preserve"> </w:t>
      </w:r>
      <w:r>
        <w:t xml:space="preserve">Leakey (1971)</w:t>
      </w:r>
      <w:r>
        <w:t xml:space="preserve"> </w:t>
      </w:r>
      <w:r>
        <w:t xml:space="preserve">later formally introduced the term spheroid, alongside polyhedron and bola, in his classification of the Developed Oldowan. Leakey’s definition of spheroids remains a widely cited typological standard: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Although these artifact types are frequently grouped under the category</w:t>
      </w:r>
      <w:r>
        <w:t xml:space="preserve"> </w:t>
      </w:r>
      <w:r>
        <w:t xml:space="preserve">“</w:t>
      </w:r>
      <w:r>
        <w:t xml:space="preserve">PSB</w:t>
      </w:r>
      <w:r>
        <w:t xml:space="preserve">”</w:t>
      </w:r>
      <w:r>
        <w:t xml:space="preserve"> </w:t>
      </w:r>
      <w:r>
        <w:t xml:space="preserve">of Polyhedron, Spheroid and Bolas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led to several challenges. Artifacts identified as spheroids in one study may be classified as bolas or attributed to entirely different technological categories in another, due to differences in observers’ experience and interpretive criteria. Furthermore, research has shown that these forms may not represent a unified</w:t>
      </w:r>
      <w:r>
        <w:t xml:space="preserve"> </w:t>
      </w:r>
      <w:r>
        <w:rPr>
          <w:iCs/>
          <w:i/>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.Therefore, it is unreasonable to treat them as a coherent group.</w:t>
      </w:r>
    </w:p>
    <w:p>
      <w:pPr>
        <w:pStyle w:val="BodyText"/>
      </w:pPr>
      <w:r>
        <w:t xml:space="preserve">At present, the technological category and function of spheroids remain central topics of debate. Broadly, spheroids have been interpreted as hammerstones</w:t>
      </w:r>
      <w:r>
        <w:t xml:space="preserve"> </w:t>
      </w:r>
      <w:r>
        <w:t xml:space="preserve">(Mussi, 2025; Schick and Toth, 1994)</w:t>
      </w:r>
      <w:r>
        <w:t xml:space="preserve">, cores</w:t>
      </w:r>
      <w:r>
        <w:t xml:space="preserve"> </w:t>
      </w:r>
      <w:r>
        <w:t xml:space="preserve">(Sahnouni et al., 1997)</w:t>
      </w:r>
      <w:r>
        <w:t xml:space="preserve">, or projectiles</w:t>
      </w:r>
      <w:r>
        <w:t xml:space="preserve"> </w:t>
      </w:r>
      <w:r>
        <w:t xml:space="preserve">(Leakey, 1979)</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At present, the debate remains stalled, primarily due to the lack of clear typological criteria for distinguishing spheroids intentionally shaped according to conceptual templates from those that emerged as by-products of flaking or percussive activities. Thus, regional studies continue to rely heavily on individual researchers’ observational judgment and experiential knowledge. Furthermore, current typological approaches offer limited capacity for cross-regional comparison, making it difficult for researchers to verify interpretations derived from other sites. At the same time, conclusions drawn from their own analyses are rarely subject to external validation or replication.</w:t>
      </w:r>
    </w:p>
    <w:p>
      <w:pPr>
        <w:pStyle w:val="BodyText"/>
      </w:pPr>
      <w:r>
        <w:t xml:space="preserve">To address these challenges, we developed a set of quantitative methods combining morphological and technological analyses to investigate spheroid production strategies. While previous morphlogical measures have focused on the shape of spheroids close to perfect sphere, contributing to discussions of spheroid standardization, they cannot reliably reflect production strategies, as highly spherical forms may result from diverse production goals. We therefore adopted the novel spherical harmonics, a landmark-free method recently introduced to archaeology, which offers morphometric precision comparable to geometric morphometrics but does not rely on predefined landmarks, making it particularly suitable for artifacts like spheroids that lack homologous landmarks. We have creatively modified the spherical harmonics method to distinguish the morphological variability of flaked pieces, enabling us to differentiate between spheroids and multifacial cores or polyhedrons—this is the first attempt of its kind in the field of archaeology. Additional technological analyses, including flake scar orientation analysis and reduction index calculation, further contribute to reconstructing the spheroid production strategies. All of these methods are open-source to enable replication and support a unified quantitative research framework.</w:t>
      </w:r>
    </w:p>
    <w:p>
      <w:pPr>
        <w:pStyle w:val="BodyText"/>
      </w:pPr>
      <w:r>
        <w:t xml:space="preserve">These methods were applied to a case study of spheroids recovered from the previously excavated site of Qianshangying of Northern China. In the following part, we assessed whether the Qianshangying spheroids exhibit a patterned production process and standardized morphology, and whether their tendency toward spherical forms resulted from deliberate and systematic reduction processes distinct from the multifacial cores and polyhedrons within the assemblage. This study provides insights into the production strategy of spheroids at the site. At the same time, we situated the Middle Pleistocene Qianshangying site within the broader context of China to explore the technological behaviors and cultural traditions associated with spheroid production, also providing one of the earliest contributions to understanding the spatial and temporal distribution of spheroids in China. More importantly, we offer a practical and integrated framework combining morphological and technological analyses, enabling comparative studies of spheroid production strategies across regions and archaeological sites.</w:t>
      </w:r>
    </w:p>
    <w:bookmarkStart w:id="27" w:name="spheroids-in-east-asia"/>
    <w:p>
      <w:pPr>
        <w:pStyle w:val="Heading2"/>
      </w:pPr>
      <w:r>
        <w:t xml:space="preserve">Spheroids in East Asia</w:t>
      </w:r>
    </w:p>
    <w:tbl>
      <w:tblPr>
        <w:tblStyle w:val="Table"/>
        <w:tblW w:type="pct" w:w="5000"/>
        <w:tblLook w:firstRow="0" w:lastRow="0" w:firstColumn="0" w:lastColumn="0" w:noHBand="0" w:noVBand="0" w:val="0000"/>
        <w:jc w:val="start"/>
        <w:tblLayout w:type="fixed"/>
      </w:tblPr>
      <w:tblGrid>
        <w:gridCol w:w="7920"/>
      </w:tblGrid>
      <w:tr>
        <w:tc>
          <w:tcPr/>
          <w:bookmarkStart w:id="22" w:name="tbl-3"/>
          <w:p>
            <w:pPr>
              <w:jc w:val="center"/>
            </w:pPr>
            <w:pPr>
              <w:jc w:val="start"/>
              <w:spacing w:before="200"/>
              <w:pStyle w:val="ImageCaption"/>
            </w:pPr>
            <w:r>
              <w:t xml:space="preserve">Table 1: Summary of core typology and morphological parameters.</w:t>
            </w:r>
          </w:p>
          <w:tbl>
            <w:tblPr>
              <w:tblStyle w:val="Table"/>
              <w:tblW w:type="pct" w:w="5000"/>
              <w:tblLook w:firstRow="1" w:lastRow="0" w:firstColumn="0" w:lastColumn="0" w:noHBand="0" w:noVBand="0" w:val="0020"/>
              <w:jc w:val="start"/>
              <w:tblLayout w:type="fixed"/>
            </w:tblPr>
            <w:tblGrid>
              <w:gridCol w:w="1071"/>
              <w:gridCol w:w="1131"/>
              <w:gridCol w:w="744"/>
              <w:gridCol w:w="297"/>
              <w:gridCol w:w="1578"/>
              <w:gridCol w:w="774"/>
              <w:gridCol w:w="1220"/>
              <w:gridCol w:w="714"/>
              <w:gridCol w:w="387"/>
            </w:tblGrid>
            <w:tr>
              <w:trPr>
                <w:tblHeader w:val="true"/>
              </w:trPr>
              <w:tc>
                <w:tcPr/>
                <w:p>
                  <w:pPr>
                    <w:pStyle w:val="Compact"/>
                    <w:jc w:val="left"/>
                    <w:jc w:val="center"/>
                  </w:pPr>
                  <w:r>
                    <w:t xml:space="preserve">site</w:t>
                  </w:r>
                </w:p>
              </w:tc>
              <w:tc>
                <w:tcPr/>
                <w:p>
                  <w:pPr>
                    <w:pStyle w:val="Compact"/>
                    <w:jc w:val="left"/>
                    <w:jc w:val="center"/>
                  </w:pPr>
                  <w:r>
                    <w:t xml:space="preserve">geographic location</w:t>
                  </w:r>
                </w:p>
              </w:tc>
              <w:tc>
                <w:tcPr/>
                <w:p>
                  <w:pPr>
                    <w:pStyle w:val="Compact"/>
                    <w:jc w:val="left"/>
                    <w:jc w:val="center"/>
                  </w:pPr>
                  <w:r>
                    <w:t xml:space="preserve">geochronology</w:t>
                  </w:r>
                </w:p>
              </w:tc>
              <w:tc>
                <w:tcPr/>
                <w:p>
                  <w:pPr>
                    <w:pStyle w:val="Compact"/>
                    <w:jc w:val="left"/>
                    <w:jc w:val="center"/>
                  </w:pPr>
                  <w:r>
                    <w:t xml:space="preserve">site type</w:t>
                  </w:r>
                </w:p>
              </w:tc>
              <w:tc>
                <w:tcPr/>
                <w:p>
                  <w:pPr>
                    <w:pStyle w:val="Compact"/>
                    <w:jc w:val="left"/>
                    <w:jc w:val="center"/>
                  </w:pPr>
                  <w:r>
                    <w:t xml:space="preserve">industry type</w:t>
                  </w:r>
                </w:p>
              </w:tc>
              <w:tc>
                <w:tcPr/>
                <w:p>
                  <w:pPr>
                    <w:pStyle w:val="Compact"/>
                    <w:jc w:val="left"/>
                    <w:jc w:val="center"/>
                  </w:pPr>
                  <w:r>
                    <w:t xml:space="preserve">number of spheroids/bolas</w:t>
                  </w:r>
                </w:p>
              </w:tc>
              <w:tc>
                <w:tcPr/>
                <w:p>
                  <w:pPr>
                    <w:pStyle w:val="Compact"/>
                    <w:jc w:val="left"/>
                    <w:jc w:val="center"/>
                  </w:pPr>
                  <w:r>
                    <w:t xml:space="preserve">raw material</w:t>
                  </w:r>
                </w:p>
              </w:tc>
              <w:tc>
                <w:tcPr/>
                <w:p>
                  <w:pPr>
                    <w:pStyle w:val="Compact"/>
                    <w:jc w:val="left"/>
                    <w:jc w:val="center"/>
                  </w:pPr>
                  <w:r>
                    <w:t xml:space="preserve">production technology</w:t>
                  </w:r>
                </w:p>
              </w:tc>
              <w:tc>
                <w:tcPr/>
                <w:p>
                  <w:pPr>
                    <w:pStyle w:val="Compact"/>
                    <w:jc w:val="left"/>
                    <w:jc w:val="center"/>
                  </w:pPr>
                  <w:r>
                    <w:t xml:space="preserve">remarks</w:t>
                  </w:r>
                </w:p>
              </w:tc>
            </w:tr>
            <w:tr>
              <w:tc>
                <w:tcPr/>
                <w:p>
                  <w:pPr>
                    <w:pStyle w:val="Compact"/>
                    <w:jc w:val="left"/>
                    <w:jc w:val="center"/>
                  </w:pPr>
                  <w:r>
                    <w:t xml:space="preserve">choushuihe</w:t>
                  </w:r>
                </w:p>
              </w:tc>
              <w:tc>
                <w:tcPr/>
                <w:p>
                  <w:pPr>
                    <w:pStyle w:val="Compact"/>
                    <w:jc w:val="left"/>
                    <w:jc w:val="center"/>
                  </w:pPr>
                  <w:r>
                    <w:t xml:space="preserve">Lantian,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1</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zhoukoudian</w:t>
                  </w:r>
                </w:p>
              </w:tc>
              <w:tc>
                <w:tcPr/>
                <w:p>
                  <w:pPr>
                    <w:pStyle w:val="Compact"/>
                    <w:jc w:val="left"/>
                    <w:jc w:val="center"/>
                  </w:pPr>
                  <w:r>
                    <w:t xml:space="preserve">beijing</w:t>
                  </w:r>
                </w:p>
              </w:tc>
              <w:tc>
                <w:tcPr/>
                <w:p>
                  <w:pPr>
                    <w:pStyle w:val="Compact"/>
                    <w:jc w:val="left"/>
                    <w:jc w:val="center"/>
                  </w:pPr>
                  <w:r>
                    <w:t xml:space="preserve">early Middle Pleistocene</w:t>
                  </w:r>
                </w:p>
              </w:tc>
              <w:tc>
                <w:tcPr/>
                <w:p>
                  <w:pPr>
                    <w:pStyle w:val="Compact"/>
                    <w:jc w:val="left"/>
                    <w:jc w:val="center"/>
                  </w:pPr>
                  <w:r>
                    <w:t xml:space="preserve">cave</w:t>
                  </w:r>
                </w:p>
              </w:tc>
              <w:tc>
                <w:tcPr/>
                <w:p>
                  <w:pPr>
                    <w:pStyle w:val="Compact"/>
                    <w:jc w:val="left"/>
                    <w:jc w:val="center"/>
                  </w:pPr>
                  <w:r>
                    <w:t xml:space="preserve">core and flake industry, but LCTs included</w:t>
                  </w:r>
                </w:p>
              </w:tc>
              <w:tc>
                <w:tcPr/>
                <w:p>
                  <w:pPr>
                    <w:pStyle w:val="Compact"/>
                    <w:jc w:val="left"/>
                    <w:jc w:val="center"/>
                  </w:pPr>
                  <w:r>
                    <w:t xml:space="preserve">8</w:t>
                  </w:r>
                </w:p>
              </w:tc>
              <w:tc>
                <w:tcPr/>
                <w:p>
                  <w:pPr>
                    <w:pStyle w:val="Compact"/>
                    <w:jc w:val="left"/>
                    <w:jc w:val="center"/>
                  </w:pPr>
                  <w:r>
                    <w:t xml:space="preserve">quartz; quartzite; sandstone</w:t>
                  </w:r>
                </w:p>
              </w:tc>
              <w:tc>
                <w:tcPr/>
                <w:p>
                  <w:pPr>
                    <w:pStyle w:val="Compact"/>
                    <w:jc w:val="left"/>
                    <w:jc w:val="center"/>
                  </w:pPr>
                  <w:r>
                    <w:t xml:space="preserve">battering on polyhedron</w:t>
                  </w:r>
                </w:p>
              </w:tc>
              <w:tc>
                <w:tcPr/>
                <w:p>
                  <w:pPr>
                    <w:pStyle w:val="Compact"/>
                    <w:jc w:val="left"/>
                    <w:jc w:val="center"/>
                  </w:pPr>
                  <w:r>
                    <w:t xml:space="preserve">NA</w:t>
                  </w:r>
                </w:p>
              </w:tc>
            </w:tr>
            <w:tr>
              <w:tc>
                <w:tcPr/>
                <w:p>
                  <w:pPr>
                    <w:pStyle w:val="Compact"/>
                    <w:jc w:val="left"/>
                    <w:jc w:val="center"/>
                  </w:pPr>
                  <w:r>
                    <w:t xml:space="preserve">kehe</w:t>
                  </w:r>
                </w:p>
              </w:tc>
              <w:tc>
                <w:tcPr/>
                <w:p>
                  <w:pPr>
                    <w:pStyle w:val="Compact"/>
                    <w:jc w:val="left"/>
                    <w:jc w:val="center"/>
                  </w:pPr>
                  <w:r>
                    <w:t xml:space="preserve">ruicheng,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＞3</w:t>
                  </w:r>
                </w:p>
              </w:tc>
              <w:tc>
                <w:tcPr/>
                <w:p>
                  <w:pPr>
                    <w:pStyle w:val="Compact"/>
                    <w:jc w:val="left"/>
                    <w:jc w:val="center"/>
                  </w:pPr>
                  <w:r>
                    <w:t xml:space="preserve">quartzite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dingcun79:01/02</w:t>
                  </w:r>
                </w:p>
              </w:tc>
              <w:tc>
                <w:tcPr/>
                <w:p>
                  <w:pPr>
                    <w:pStyle w:val="Compact"/>
                    <w:jc w:val="left"/>
                    <w:jc w:val="center"/>
                  </w:pPr>
                  <w:r>
                    <w:t xml:space="preserve">xiangfen,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dingcun76:006/007/008; 79:05; 80:01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98</w:t>
                  </w:r>
                </w:p>
              </w:tc>
              <w:tc>
                <w:tcPr/>
                <w:p>
                  <w:pPr>
                    <w:pStyle w:val="Compact"/>
                    <w:jc w:val="left"/>
                    <w:jc w:val="center"/>
                  </w:pPr>
                  <w:r>
                    <w:t xml:space="preserve">limestone; diorite; quartzite; 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dingcun77:01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LP-Microlithic</w:t>
                  </w:r>
                </w:p>
              </w:tc>
              <w:tc>
                <w:tcPr/>
                <w:p>
                  <w:pPr>
                    <w:pStyle w:val="Compact"/>
                    <w:jc w:val="left"/>
                    <w:jc w:val="center"/>
                  </w:pPr>
                  <w:r>
                    <w:t xml:space="preserve">10</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xigou</w:t>
                  </w:r>
                </w:p>
              </w:tc>
              <w:tc>
                <w:tcPr/>
                <w:p>
                  <w:pPr>
                    <w:pStyle w:val="Compact"/>
                    <w:jc w:val="left"/>
                    <w:jc w:val="center"/>
                  </w:pPr>
                  <w:r>
                    <w:t xml:space="preserve">quwo,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w:t>
                  </w:r>
                </w:p>
              </w:tc>
              <w:tc>
                <w:tcPr/>
                <w:p>
                  <w:pPr>
                    <w:pStyle w:val="Compact"/>
                    <w:jc w:val="left"/>
                    <w:jc w:val="center"/>
                  </w:pPr>
                  <w:r>
                    <w:t xml:space="preserve">limestone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shuigou/huixinggou</w:t>
                  </w:r>
                </w:p>
              </w:tc>
              <w:tc>
                <w:tcPr/>
                <w:p>
                  <w:pPr>
                    <w:pStyle w:val="Compact"/>
                    <w:jc w:val="left"/>
                    <w:jc w:val="center"/>
                  </w:pPr>
                  <w:r>
                    <w:t xml:space="preserve">sanmenxia, henan</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lava; quartz; breccia</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xiaokongshan lower cave</w:t>
                  </w:r>
                </w:p>
              </w:tc>
              <w:tc>
                <w:tcPr/>
                <w:p>
                  <w:pPr>
                    <w:pStyle w:val="Compact"/>
                    <w:jc w:val="left"/>
                    <w:jc w:val="center"/>
                  </w:pPr>
                  <w:r>
                    <w:t xml:space="preserve">nanzhao, henan</w:t>
                  </w:r>
                </w:p>
              </w:tc>
              <w:tc>
                <w:tcPr/>
                <w:p>
                  <w:pPr>
                    <w:pStyle w:val="Compact"/>
                    <w:jc w:val="left"/>
                    <w:jc w:val="center"/>
                  </w:pPr>
                  <w:r>
                    <w:t xml:space="preserve">Unknown</w:t>
                  </w:r>
                </w:p>
              </w:tc>
              <w:tc>
                <w:tcPr/>
                <w:p>
                  <w:pPr>
                    <w:pStyle w:val="Compact"/>
                    <w:jc w:val="left"/>
                    <w:jc w:val="center"/>
                  </w:pPr>
                  <w:r>
                    <w:t xml:space="preserve">cave</w:t>
                  </w:r>
                </w:p>
              </w:tc>
              <w:tc>
                <w:tcPr/>
                <w:p>
                  <w:pPr>
                    <w:pStyle w:val="Compact"/>
                    <w:jc w:val="left"/>
                    <w:jc w:val="center"/>
                  </w:pPr>
                  <w:r>
                    <w:t xml:space="preserve">Unknown</w:t>
                  </w:r>
                </w:p>
              </w:tc>
              <w:tc>
                <w:tcPr/>
                <w:p>
                  <w:pPr>
                    <w:pStyle w:val="Compact"/>
                    <w:jc w:val="left"/>
                    <w:jc w:val="center"/>
                  </w:pPr>
                  <w:r>
                    <w:t xml:space="preserve">2</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zhangjiatan/xiangou</w:t>
                  </w:r>
                </w:p>
              </w:tc>
              <w:tc>
                <w:tcPr/>
                <w:p>
                  <w:pPr>
                    <w:pStyle w:val="Compact"/>
                    <w:jc w:val="left"/>
                    <w:jc w:val="center"/>
                  </w:pPr>
                  <w:r>
                    <w:t xml:space="preserve">lixian,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Deshan Second Brick Factory</w:t>
                  </w:r>
                </w:p>
              </w:tc>
              <w:tc>
                <w:tcPr/>
                <w:p>
                  <w:pPr>
                    <w:pStyle w:val="Compact"/>
                    <w:jc w:val="left"/>
                    <w:jc w:val="center"/>
                  </w:pPr>
                  <w:r>
                    <w:t xml:space="preserve">changde,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2</w:t>
                  </w:r>
                </w:p>
              </w:tc>
              <w:tc>
                <w:tcPr/>
                <w:p>
                  <w:pPr>
                    <w:pStyle w:val="Compact"/>
                    <w:jc w:val="left"/>
                    <w:jc w:val="center"/>
                  </w:pPr>
                  <w:r>
                    <w:t xml:space="preserve">sandstone; dolomite</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huzhua Mount.</w:t>
                  </w:r>
                </w:p>
              </w:tc>
              <w:tc>
                <w:tcPr/>
                <w:p>
                  <w:pPr>
                    <w:pStyle w:val="Compact"/>
                    <w:jc w:val="left"/>
                    <w:jc w:val="center"/>
                  </w:pPr>
                  <w:r>
                    <w:t xml:space="preserve">jinshi,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11</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fangniu Mount.</w:t>
                  </w:r>
                </w:p>
              </w:tc>
              <w:tc>
                <w:tcPr/>
                <w:p>
                  <w:pPr>
                    <w:pStyle w:val="Compact"/>
                    <w:jc w:val="left"/>
                    <w:jc w:val="center"/>
                  </w:pPr>
                  <w:r>
                    <w:t xml:space="preserve">jurong, jiangsu</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6</w:t>
                  </w:r>
                </w:p>
              </w:tc>
              <w:tc>
                <w:tcPr/>
                <w:p>
                  <w:pPr>
                    <w:pStyle w:val="Compact"/>
                    <w:jc w:val="left"/>
                    <w:jc w:val="center"/>
                  </w:pPr>
                  <w:r>
                    <w:t xml:space="preserve">sandstone;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yaoshi basin</w:t>
                  </w:r>
                </w:p>
              </w:tc>
              <w:tc>
                <w:tcPr/>
                <w:p>
                  <w:pPr>
                    <w:pStyle w:val="Compact"/>
                    <w:jc w:val="left"/>
                    <w:jc w:val="center"/>
                  </w:pPr>
                  <w:r>
                    <w:t xml:space="preserve">shangzhou,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shangdan basin</w:t>
                  </w:r>
                </w:p>
              </w:tc>
              <w:tc>
                <w:tcPr/>
                <w:p>
                  <w:pPr>
                    <w:pStyle w:val="Compact"/>
                    <w:jc w:val="left"/>
                    <w:jc w:val="center"/>
                  </w:pPr>
                  <w:r>
                    <w:t xml:space="preserve">southern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3</w:t>
                  </w:r>
                </w:p>
              </w:tc>
              <w:tc>
                <w:tcPr/>
                <w:p>
                  <w:pPr>
                    <w:pStyle w:val="Compact"/>
                    <w:jc w:val="left"/>
                    <w:jc w:val="center"/>
                  </w:pPr>
                  <w:r>
                    <w:t xml:space="preserve">quartz sandstone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xujiayao1974</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14</w:t>
                  </w:r>
                </w:p>
              </w:tc>
              <w:tc>
                <w:tcPr/>
                <w:p>
                  <w:pPr>
                    <w:pStyle w:val="Compact"/>
                    <w:jc w:val="left"/>
                    <w:jc w:val="center"/>
                  </w:pPr>
                  <w:r>
                    <w:t xml:space="preserve">quartz; lava; quartzite; limestone</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xujiayao1976</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1059</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NA</w:t>
                  </w:r>
                </w:p>
              </w:tc>
            </w:tr>
            <w:tr>
              <w:tc>
                <w:tcPr/>
                <w:p>
                  <w:pPr>
                    <w:pStyle w:val="Compact"/>
                    <w:jc w:val="left"/>
                    <w:jc w:val="center"/>
                  </w:pPr>
                  <w:r>
                    <w:t xml:space="preserve">xujiayao1977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32</w:t>
                  </w:r>
                </w:p>
              </w:tc>
              <w:tc>
                <w:tcPr/>
                <w:p>
                  <w:pPr>
                    <w:pStyle w:val="Compact"/>
                    <w:jc w:val="left"/>
                    <w:jc w:val="center"/>
                  </w:pPr>
                  <w:r>
                    <w:t xml:space="preserve">quartz;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xujiayao2017-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23</w:t>
                  </w:r>
                </w:p>
              </w:tc>
              <w:tc>
                <w:tcPr/>
                <w:p>
                  <w:pPr>
                    <w:pStyle w:val="Compact"/>
                    <w:jc w:val="left"/>
                    <w:jc w:val="center"/>
                  </w:pPr>
                  <w:r>
                    <w:t xml:space="preserve">lava; quartz sandstone; granite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longgangsi</w:t>
                  </w:r>
                </w:p>
              </w:tc>
              <w:tc>
                <w:tcPr/>
                <w:p>
                  <w:pPr>
                    <w:pStyle w:val="Compact"/>
                    <w:jc w:val="left"/>
                    <w:jc w:val="center"/>
                  </w:pPr>
                  <w:r>
                    <w:t xml:space="preserve">hanzhong,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10</w:t>
                  </w:r>
                </w:p>
              </w:tc>
              <w:tc>
                <w:tcPr/>
                <w:p>
                  <w:pPr>
                    <w:pStyle w:val="Compact"/>
                    <w:jc w:val="left"/>
                    <w:jc w:val="center"/>
                  </w:pPr>
                  <w:r>
                    <w:t xml:space="preserve">quartz; quartzite; lava</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hejialiang</w:t>
                  </w:r>
                </w:p>
              </w:tc>
              <w:tc>
                <w:tcPr/>
                <w:p>
                  <w:pPr>
                    <w:pStyle w:val="Compact"/>
                    <w:jc w:val="left"/>
                    <w:jc w:val="center"/>
                  </w:pPr>
                  <w:r>
                    <w:t xml:space="preserve">hanzhong, shanxi</w:t>
                  </w:r>
                </w:p>
              </w:tc>
              <w:tc>
                <w:tcPr/>
                <w:p>
                  <w:pPr>
                    <w:pStyle w:val="Compact"/>
                    <w:jc w:val="left"/>
                    <w:jc w:val="center"/>
                  </w:pPr>
                  <w:r>
                    <w:t xml:space="preserve">70-80ka</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10</w:t>
                  </w:r>
                </w:p>
              </w:tc>
              <w:tc>
                <w:tcPr/>
                <w:p>
                  <w:pPr>
                    <w:pStyle w:val="Compact"/>
                    <w:jc w:val="left"/>
                    <w:jc w:val="center"/>
                  </w:pPr>
                  <w:r>
                    <w:t xml:space="preserve">quartz; lava</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fanba</w:t>
                  </w:r>
                </w:p>
              </w:tc>
              <w:tc>
                <w:tcPr/>
                <w:p>
                  <w:pPr>
                    <w:pStyle w:val="Compact"/>
                    <w:jc w:val="left"/>
                    <w:jc w:val="center"/>
                  </w:pPr>
                  <w:r>
                    <w:t xml:space="preserve">hanzhong, shanxi</w:t>
                  </w:r>
                </w:p>
              </w:tc>
              <w:tc>
                <w:tcPr/>
                <w:p>
                  <w:pPr>
                    <w:pStyle w:val="Compact"/>
                    <w:jc w:val="left"/>
                    <w:jc w:val="center"/>
                  </w:pPr>
                  <w:r>
                    <w:t xml:space="preserve">180-25ka</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dangcheng</w:t>
                  </w:r>
                </w:p>
              </w:tc>
              <w:tc>
                <w:tcPr/>
                <w:p>
                  <w:pPr>
                    <w:pStyle w:val="Compact"/>
                    <w:jc w:val="left"/>
                    <w:jc w:val="center"/>
                  </w:pPr>
                  <w:r>
                    <w:t xml:space="preserve">heshun, shanxi</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core and flake industry</w:t>
                  </w:r>
                </w:p>
              </w:tc>
              <w:tc>
                <w:tcPr/>
                <w:p>
                  <w:pPr>
                    <w:pStyle w:val="Compact"/>
                    <w:jc w:val="left"/>
                    <w:jc w:val="center"/>
                  </w:pPr>
                  <w:r>
                    <w:t xml:space="preserve">11</w:t>
                  </w:r>
                </w:p>
              </w:tc>
              <w:tc>
                <w:tcPr/>
                <w:p>
                  <w:pPr>
                    <w:pStyle w:val="Compact"/>
                    <w:jc w:val="left"/>
                    <w:jc w:val="center"/>
                  </w:pPr>
                  <w:r>
                    <w:t xml:space="preserve">quartz</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hezhigou</w:t>
                  </w:r>
                </w:p>
              </w:tc>
              <w:tc>
                <w:tcPr/>
                <w:p>
                  <w:pPr>
                    <w:pStyle w:val="Compact"/>
                    <w:jc w:val="left"/>
                    <w:jc w:val="center"/>
                  </w:pPr>
                  <w:r>
                    <w:t xml:space="preserve">jingchuan,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1</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liujiacha</w:t>
                  </w:r>
                </w:p>
              </w:tc>
              <w:tc>
                <w:tcPr/>
                <w:p>
                  <w:pPr>
                    <w:pStyle w:val="Compact"/>
                    <w:jc w:val="left"/>
                    <w:jc w:val="center"/>
                  </w:pPr>
                  <w:r>
                    <w:t xml:space="preserve">huanxian,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21</w:t>
                  </w:r>
                </w:p>
              </w:tc>
              <w:tc>
                <w:tcPr/>
                <w:p>
                  <w:pPr>
                    <w:pStyle w:val="Compact"/>
                    <w:jc w:val="left"/>
                    <w:jc w:val="center"/>
                  </w:pPr>
                  <w:r>
                    <w:t xml:space="preserve">quartzite; dolomite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liaohe river</w:t>
                  </w:r>
                </w:p>
              </w:tc>
              <w:tc>
                <w:tcPr/>
                <w:p>
                  <w:pPr>
                    <w:pStyle w:val="Compact"/>
                    <w:jc w:val="left"/>
                    <w:jc w:val="center"/>
                  </w:pPr>
                  <w:r>
                    <w:t xml:space="preserve">anyi, anhui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2</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mujiaqiao</w:t>
                  </w:r>
                </w:p>
              </w:tc>
              <w:tc>
                <w:tcPr/>
                <w:p>
                  <w:pPr>
                    <w:pStyle w:val="Compact"/>
                    <w:jc w:val="left"/>
                    <w:jc w:val="center"/>
                  </w:pPr>
                  <w:r>
                    <w:t xml:space="preserve">lijiang, yunnan</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5</w:t>
                  </w:r>
                </w:p>
              </w:tc>
              <w:tc>
                <w:tcPr/>
                <w:p>
                  <w:pPr>
                    <w:pStyle w:val="Compact"/>
                    <w:jc w:val="left"/>
                    <w:jc w:val="center"/>
                  </w:pPr>
                  <w:r>
                    <w:t xml:space="preserve">limestone; quartz</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jinsitai</w:t>
                  </w:r>
                </w:p>
              </w:tc>
              <w:tc>
                <w:tcPr/>
                <w:p>
                  <w:pPr>
                    <w:pStyle w:val="Compact"/>
                    <w:jc w:val="left"/>
                    <w:jc w:val="center"/>
                  </w:pPr>
                  <w:r>
                    <w:t xml:space="preserve">Dongwuzhumuqin Banner, Inner Mongolia</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MP-Mousterian</w:t>
                  </w:r>
                </w:p>
              </w:tc>
              <w:tc>
                <w:tcPr/>
                <w:p>
                  <w:pPr>
                    <w:pStyle w:val="Compact"/>
                    <w:jc w:val="left"/>
                    <w:jc w:val="center"/>
                  </w:pPr>
                  <w:r>
                    <w:t xml:space="preserve">169</w:t>
                  </w:r>
                </w:p>
              </w:tc>
              <w:tc>
                <w:tcPr/>
                <w:p>
                  <w:pPr>
                    <w:pStyle w:val="Compact"/>
                    <w:jc w:val="left"/>
                    <w:jc w:val="center"/>
                  </w:pPr>
                  <w:r>
                    <w:t xml:space="preserve">lava; limestone; quartz</w:t>
                  </w:r>
                </w:p>
              </w:tc>
              <w:tc>
                <w:tcPr/>
                <w:p>
                  <w:pPr>
                    <w:pStyle w:val="Compact"/>
                    <w:jc w:val="left"/>
                    <w:jc w:val="center"/>
                  </w:pPr>
                  <w:r>
                    <w:t xml:space="preserve">flaking</w:t>
                  </w:r>
                </w:p>
              </w:tc>
              <w:tc>
                <w:tcPr/>
                <w:p>
                  <w:pPr>
                    <w:pStyle w:val="Compact"/>
                    <w:jc w:val="left"/>
                    <w:jc w:val="center"/>
                  </w:pPr>
                  <w:r>
                    <w:t xml:space="preserve">NA</w:t>
                  </w:r>
                </w:p>
              </w:tc>
            </w:tr>
          </w:tbl>
          <w:bookmarkEnd w:id="22"/>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 w:name="fig-Spheroids-distribution-China"/>
          <w:p>
            <w:pPr>
              <w:jc w:val="center"/>
            </w:pPr>
            <w:r>
              <w:drawing>
                <wp:inline>
                  <wp:extent cx="5943600" cy="3405205"/>
                  <wp:effectExtent b="0" l="0" r="0" t="0"/>
                  <wp:docPr descr="" title="" id="24" name="Picture"/>
                  <a:graphic>
                    <a:graphicData uri="http://schemas.openxmlformats.org/drawingml/2006/picture">
                      <pic:pic>
                        <pic:nvPicPr>
                          <pic:cNvPr descr="figures/Spheroids_distribution_China.png" id="25" name="Picture"/>
                          <pic:cNvPicPr>
                            <a:picLocks noChangeArrowheads="1" noChangeAspect="1"/>
                          </pic:cNvPicPr>
                        </pic:nvPicPr>
                        <pic:blipFill>
                          <a:blip r:embed="rId23"/>
                          <a:stretch>
                            <a:fillRect/>
                          </a:stretch>
                        </pic:blipFill>
                        <pic:spPr bwMode="auto">
                          <a:xfrm>
                            <a:off x="0" y="0"/>
                            <a:ext cx="5943600" cy="34052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w:t>
            </w:r>
            <w:r>
              <w:t xml:space="preserve">; 21. Zhoukoudian Loc.1,</w:t>
            </w:r>
            <w:r>
              <w:t xml:space="preserve"> </w:t>
            </w:r>
            <w:r>
              <w:t xml:space="preserve">(Nanjing Institute of Geology and Palaeontology, Chinese Academy of Sciences, 1985)</w:t>
            </w:r>
            <w:r>
              <w:t xml:space="preserve">; 22. Xujiayao,</w:t>
            </w:r>
            <w:r>
              <w:t xml:space="preserve"> </w:t>
            </w:r>
            <w:r>
              <w:t xml:space="preserve">(Jia et al., 1979; Jia and Wei, 1976; Ma et al., 2011; Wang, 2016)</w:t>
            </w:r>
            <w:r>
              <w:t xml:space="preserve">); 23. Jinsitai,</w:t>
            </w:r>
            <w:r>
              <w:t xml:space="preserve"> </w:t>
            </w:r>
            <w:r>
              <w:t xml:space="preserve">(Wang et al., 2010)</w:t>
            </w:r>
          </w:p>
          <w:bookmarkEnd w:id="26"/>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Figure 1</w:t>
        </w:r>
      </w:hyperlink>
      <w:r>
        <w:t xml:space="preserve">.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the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flaking, involving the removal of flakes to shape the object (e.g.,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spheroid form</w:t>
      </w:r>
      <w:r>
        <w:t xml:space="preserve"> </w:t>
      </w:r>
      <w:r>
        <w:t xml:space="preserve">(Lu et al., 2021)</w:t>
      </w:r>
      <w:r>
        <w:t xml:space="preserve">. Many sites, such as XJY and DC, show evidence of multiple techniques, including combined or sequential methods like pecking after flaking to improve sphericity</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At DC and MJQ, thick,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sphericity</w:t>
      </w:r>
      <w:r>
        <w:t xml:space="preserve"> </w:t>
      </w:r>
      <w:r>
        <w:t xml:space="preserve">(Tao et al., 1984; Wei et al., 1984)</w:t>
      </w:r>
      <w:r>
        <w:t xml:space="preserve">. Of the six sites exhibiting similar strategies to QSY spehroids, all but MJQ are located within the Fen River and Lishui River regions. These sites are grouped into the Keheng–Dingcun techno-complexes and Lishui techno-complexes, characterized by large flakes and large triangular points</w:t>
      </w:r>
      <w:r>
        <w:t xml:space="preserve"> </w:t>
      </w:r>
      <w:r>
        <w:t xml:space="preserve">(Fang et al., 2002; Jia, 1962; Lixian County Museum, 1992; Shanxi Provincial Institute of Archaeology, 2014; Tan, 1999)</w:t>
      </w:r>
      <w:r>
        <w:t xml:space="preserve">. The large triangular points were produced by striking the dorsal surface of large flakes to concentrate edges at the tip, creating triangular outlines and steep cross-sections—indicative of a deliberate shaping strategy. This is a significant observation, as it implies that spheroid production techniques similar to those at QSY are more frequently associated with lithic assemblages characterized by intentional shaping strategies.</w:t>
      </w:r>
    </w:p>
    <w:p>
      <w:pPr>
        <w:pStyle w:val="BodyText"/>
      </w:pPr>
      <w:r>
        <w:t xml:space="preserve">From the perspective of lithic industries represented at spheroid-bearing sites, faceted spheroids are found in both core and flake industry and Middle Paleolithic sites. However, they occur most frequently in Acheulean industries and in traditions of large flake and large triangular point</w:t>
      </w:r>
      <w:r>
        <w:t xml:space="preserve"> </w:t>
      </w:r>
      <w:r>
        <w:t xml:space="preserve">(Lu et al., 2006; Wang et al., 2014, 2013; Wang and Hu, 2000)</w:t>
      </w:r>
      <w:r>
        <w:t xml:space="preserve">, both of which are marked by deliberate shaping strategies (</w:t>
      </w:r>
      <w:hyperlink w:anchor="fig-Spheroids-distribution-China">
        <w:r>
          <w:rPr>
            <w:rStyle w:val="Hyperlink"/>
          </w:rPr>
          <w:t xml:space="preserve">Figure 1</w:t>
        </w:r>
      </w:hyperlink>
      <w:r>
        <w:t xml:space="preserve">). Notably, even sites previously classified as belonging to simple core and flake industries or Mode 1, such as XJY, demonstrate technological capacities that surpass the typical expectations of Mode 1</w:t>
      </w:r>
      <w:r>
        <w:t xml:space="preserve"> </w:t>
      </w:r>
      <w:r>
        <w:t xml:space="preserve">(Wang, 2016)</w:t>
      </w:r>
      <w:r>
        <w:t xml:space="preserve">.</w:t>
      </w:r>
    </w:p>
    <w:p>
      <w:pPr>
        <w:pStyle w:val="BodyText"/>
      </w:pPr>
      <w:r>
        <w:t xml:space="preserve">It should be emphasized, however, that we do not intend to imply a direct association between faceted spheroids and Mode 2 or the Acheulean technology. Rather, what we infer is that faceted spheroids in China appear to represent a shaping tradition that shares the same core technological competencies as LCTs</w:t>
      </w:r>
      <w:r>
        <w:t xml:space="preserve"> </w:t>
      </w:r>
      <w:r>
        <w:t xml:space="preserve">(Cabanès et al., 2024; Glynn L. Isaac, 1986; Leakey, 1971)</w:t>
      </w:r>
      <w:r>
        <w:t xml:space="preserve">, so they often occur alongside one another. If faceted spheroids first emerged within the small flake tool industries in northern China, commonly considered a simple core and flake technology, then this would suggest that shaping techniques may have originated in an even earlier technological context.</w:t>
      </w:r>
    </w:p>
    <w:p>
      <w:pPr>
        <w:pStyle w:val="BodyText"/>
      </w:pPr>
      <w:r>
        <w:t xml:space="preserve">This pattern aligns with spheroid findings in other regions of the world. Early examples of spheroids have been identified in various lithic assemblages across Africa, Europe, the Levant, and Asia, where the associated techno-complexes are generally attributed to either the Acheulean or the Oldowan.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Spheroids, we propose here, may represent one of the key indicators of this increasing technological complexity during the Late Oldowan</w:t>
      </w:r>
      <w:r>
        <w:t xml:space="preserve"> </w:t>
      </w:r>
      <w:r>
        <w:t xml:space="preserve">(Titton et al., 2020)</w:t>
      </w:r>
      <w:r>
        <w:t xml:space="preserve">. In particular, faceted spheroids, which we hypothesize represent a deliberate shaping strategy, may indicate a level of technical skill approaching that of the earliest Acheulean, or perhaps even foreshadowing their emergence.</w:t>
      </w:r>
    </w:p>
    <w:bookmarkEnd w:id="27"/>
    <w:bookmarkEnd w:id="28"/>
    <w:bookmarkStart w:id="37" w:name="qianshangying-and-its-spheroids"/>
    <w:p>
      <w:pPr>
        <w:pStyle w:val="Heading1"/>
      </w:pPr>
      <w:r>
        <w:t xml:space="preserve">Qianshangying and its spheroids</w:t>
      </w:r>
    </w:p>
    <w:tbl>
      <w:tblPr>
        <w:tblStyle w:val="Table"/>
        <w:tblW w:type="pct" w:w="5000"/>
        <w:tblLook w:firstRow="0" w:lastRow="0" w:firstColumn="0" w:lastColumn="0" w:noHBand="0" w:noVBand="0" w:val="0000"/>
        <w:jc w:val="start"/>
        <w:tblLayout w:type="fixed"/>
      </w:tblPr>
      <w:tblGrid>
        <w:gridCol w:w="7920"/>
      </w:tblGrid>
      <w:tr>
        <w:tc>
          <w:tcPr/>
          <w:bookmarkStart w:id="32" w:name="fig-QSY-geography-chronology"/>
          <w:p>
            <w:pPr>
              <w:pStyle w:val="Compact"/>
              <w:jc w:val="center"/>
            </w:pPr>
            <w:r>
              <w:drawing>
                <wp:inline>
                  <wp:extent cx="5943600" cy="4193508"/>
                  <wp:effectExtent b="0" l="0" r="0" t="0"/>
                  <wp:docPr descr="" title="" id="30" name="Picture"/>
                  <a:graphic>
                    <a:graphicData uri="http://schemas.openxmlformats.org/drawingml/2006/picture">
                      <pic:pic>
                        <pic:nvPicPr>
                          <pic:cNvPr descr="figures/QSY_geography_chronology.png" id="31" name="Picture"/>
                          <pic:cNvPicPr>
                            <a:picLocks noChangeArrowheads="1" noChangeAspect="1"/>
                          </pic:cNvPicPr>
                        </pic:nvPicPr>
                        <pic:blipFill>
                          <a:blip r:embed="rId29"/>
                          <a:stretch>
                            <a:fillRect/>
                          </a:stretch>
                        </pic:blipFill>
                        <pic:spPr bwMode="auto">
                          <a:xfrm>
                            <a:off x="0" y="0"/>
                            <a:ext cx="5943600" cy="4193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Geological Context and Chrono-Stratigraphy of the QSY Site)</w:t>
            </w:r>
          </w:p>
          <w:bookmarkEnd w:id="32"/>
        </w:tc>
      </w:tr>
    </w:tbl>
    <w:p>
      <w:pPr>
        <w:pStyle w:val="BodyText"/>
      </w:pPr>
      <w:r>
        <w:t xml:space="preserve">Qianshangying lies in the Nihewan Basin, a region in northern China situated between the Chinese Loess Plateau and the Inner Mongolian Plateau. The basin preserves extensive Quaternary fluvio-lacustrine and loess deposits</w:t>
      </w:r>
      <w:r>
        <w:t xml:space="preserve"> </w:t>
      </w:r>
      <w:r>
        <w:t xml:space="preserve">(Li et al., 2000; Yuan et al., 2009)</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(Ye et al., 2024; Yuwei et al., 2023)</w:t>
      </w:r>
      <w:r>
        <w:t xml:space="preserve">, within the Yuxian Sub-basin, resulting in a long and detailed regional cultural sequence for the Nihewan Basin (</w:t>
      </w:r>
      <w:hyperlink w:anchor="fig-QSY-geography-chronology">
        <w:r>
          <w:rPr>
            <w:rStyle w:val="Hyperlink"/>
          </w:rPr>
          <w:t xml:space="preserve">Figure 2</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Cs/>
          <w:i/>
        </w:rPr>
        <w:t xml:space="preserve">in situ</w:t>
      </w:r>
      <w:r>
        <w:t xml:space="preserve">, exhibiting minimal disturbance after deposition</w:t>
      </w:r>
      <w:r>
        <w:t xml:space="preserve"> </w:t>
      </w:r>
      <w:r>
        <w:t xml:space="preserve">. ESR dating of the cultural layer places hominin activity at approximately 429 ± 39 ka</w:t>
      </w:r>
      <w:r>
        <w:t xml:space="preserve"> </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247, 26.0%), detached pieces (n = 686, 71.8%), pounded pieces (n = 4, 0.4%), and unmodified materials (n = 17, 1.8%). Among these, 12 spheroids and subspheroids were identified, accounting for 1.3% of the total lithic assemblage.</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siliceous dolomite, chert, and others. The overall assemblage is dominated by lava ( n = 637, 66.7% ), followed by siliceous dolomite ( n = 209, 21.9% ), with smaller proportions of chert ( n = 53, 5.5% ) and other materials ( n = 56, 5.9% ). The composition of cores closely mirrors this distribution, comprising 66% lava (n = 62), 22.3% siliceous dolomite (n = 21), 4.3% chert (n = 4), and 7.4% other (n = 7). For polyhedrons and multifacial cores, a preference of chert ( n = 3, 8.1% ) and lava ( n = 26, 70.3% ) was shown. In contrast, spheroids exhibit a marked preference for lava (n = 9, 75%), with reduced use of siliceous dolomite ( n = 2, 16.7% ) and no use of chert. Compared to both the total assemblage and the cores, 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were 82.9 mm (SD = 37.3), 70.1 mm (SD = 24.4), 61.2 mm (SD = 22), and 634.4 g (SD = 758.9), respectively, as shown in</w:t>
      </w:r>
      <w:r>
        <w:t xml:space="preserve"> </w:t>
      </w:r>
      <w:hyperlink w:anchor="fig-basic-characteristics">
        <w:r>
          <w:rPr>
            <w:rStyle w:val="Hyperlink"/>
          </w:rPr>
          <w:t xml:space="preserve">Figure 3</w:t>
        </w:r>
      </w:hyperlink>
      <w:r>
        <w:t xml:space="preserve">. Two spheroids showed outlier values in size, being either unusually large or small, while the rest exhibited relatively concentrated size distributions. In contrast, polyhedrons and multifacial cores displayed greater variability in size, with standard deviations of 27 mm, 25.7 mm, and 21.8 mm for length, width, and thickness, respectively. Additionally, spheroids tend to have similar values across length, width, and thickness, reflecting their overall symmetry. In contrast, polyhedrons and multifacial cores show marked differences among these dimensions, indicating more irregular and elongated forms.</w:t>
      </w:r>
    </w:p>
    <w:tbl>
      <w:tblPr>
        <w:tblStyle w:val="Table"/>
        <w:tblW w:type="pct" w:w="5000"/>
        <w:tblLook w:firstRow="0" w:lastRow="0" w:firstColumn="0" w:lastColumn="0" w:noHBand="0" w:noVBand="0" w:val="0000"/>
        <w:jc w:val="start"/>
        <w:tblLayout w:type="fixed"/>
      </w:tblPr>
      <w:tblGrid>
        <w:gridCol w:w="7920"/>
      </w:tblGrid>
      <w:tr>
        <w:tc>
          <w:tcPr/>
          <w:bookmarkStart w:id="36" w:name="fig-basic-characteristics"/>
          <w:p>
            <w:pPr>
              <w:pStyle w:val="Compact"/>
              <w:jc w:val="center"/>
            </w:pPr>
            <w:r>
              <w:drawing>
                <wp:inline>
                  <wp:extent cx="5943600" cy="4754880"/>
                  <wp:effectExtent b="0" l="0" r="0" t="0"/>
                  <wp:docPr descr="" title="" id="34" name="Picture"/>
                  <a:graphic>
                    <a:graphicData uri="http://schemas.openxmlformats.org/drawingml/2006/picture">
                      <pic:pic>
                        <pic:nvPicPr>
                          <pic:cNvPr descr="paper_files/figure-docx/fig-basic-characteristics-1.png" id="35" name="Picture"/>
                          <pic:cNvPicPr>
                            <a:picLocks noChangeArrowheads="1" noChangeAspect="1"/>
                          </pic:cNvPicPr>
                        </pic:nvPicPr>
                        <pic:blipFill>
                          <a:blip r:embed="rId3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Basic characteristics of the Qianshangying assemblage. A: Raw material proportions. B: Box plot comparing of core, spheroid, and multifacial core dimensions</w:t>
            </w:r>
          </w:p>
          <w:bookmarkEnd w:id="36"/>
        </w:tc>
      </w:tr>
    </w:tbl>
    <w:bookmarkEnd w:id="37"/>
    <w:bookmarkStart w:id="52" w:name="method"/>
    <w:p>
      <w:pPr>
        <w:pStyle w:val="Heading1"/>
      </w:pPr>
      <w:r>
        <w:t xml:space="preserve">Method</w:t>
      </w:r>
    </w:p>
    <w:p>
      <w:pPr>
        <w:pStyle w:val="FirstParagraph"/>
      </w:pPr>
      <w:r>
        <w:t xml:space="preserve">We generated 3d models of the cores for morphometric and technological analysis. Digital data were captured using Artec Spider, and post-processing was carried out with Artec Studio</w:t>
      </w:r>
      <w:r>
        <w:t xml:space="preserve"> </w:t>
      </w:r>
      <w:r>
        <w:t xml:space="preserve">. The 3D scan files and all the R and Python code used in the analyses reported here are openly available online at https://doi.org/xxxx/xxxx/./xxxx/.</w:t>
      </w:r>
      <w:r>
        <w:t xml:space="preserve"> </w:t>
      </w:r>
    </w:p>
    <w:bookmarkStart w:id="45" w:name="morphometric-analysis"/>
    <w:p>
      <w:pPr>
        <w:pStyle w:val="Heading2"/>
      </w:pPr>
      <w:r>
        <w:t xml:space="preserve">Morphometric Analysis</w:t>
      </w:r>
    </w:p>
    <w:p>
      <w:pPr>
        <w:pStyle w:val="FirstParagraph"/>
      </w:pPr>
      <w:r>
        <w:t xml:space="preserve">In our typological study we identified some faceted sub-spheroids/spheroids in the Qianshangying assemblage. To minimize subjective judgments that are inherent in typological classifications—particularly in distinguishing spheroids from stone cores—we applied quantitative methods to our 3d models to evaluate the degree of difference between the archaeological spheroids and a perfect sphere. In addition to the spheroids, we included other multifacial cores and polyhedrons in the morphological study to explore whether they can be distinguished from the spheroids. These quantitative methods included computing the sphericity index, 3D spherical harmonics, spherical harmonic energy (SHE) and the centroid offset for each artifact. We also examined the degree of standardization of the spheroids by compulating coefficients of variation</w:t>
      </w:r>
      <w:r>
        <w:t xml:space="preserve"> </w:t>
      </w:r>
      <w:r>
        <w:t xml:space="preserve">(Eerkens and Bettinger, 2001; Muller and Clarkson, 2023)</w:t>
      </w:r>
      <w:r>
        <w:t xml:space="preserve"> </w:t>
      </w:r>
      <w:r>
        <w:t xml:space="preserve">of shape proxies. Furthermore, we compared the results of the typological study and our new morphometric analyses to investigate the validity of the traditional typological approach.</w:t>
      </w:r>
    </w:p>
    <w:bookmarkStart w:id="38"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formula:</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angular features or surface roughness. Thus, sphericity serves as a useful but limited proxy for assessing how close an object is to a perfect sphere. We used Python to decimate to a consistent face count and conduct a unit normalization to ensure comparability across artifacts, and then derived surface area and volume measurements from these processed 3D mesh models.</w:t>
      </w:r>
    </w:p>
    <w:bookmarkEnd w:id="38"/>
    <w:bookmarkStart w:id="43"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6</w:t>
        </w:r>
      </w:hyperlink>
      <w:r>
        <w:t xml:space="preserve">).</w:t>
      </w:r>
    </w:p>
    <w:p>
      <w:pPr>
        <w:pStyle w:val="BodyText"/>
      </w:pPr>
      <w:r>
        <w:t xml:space="preserve">This method is widely used in the field of biology, such as the analysis of skull morphology and cell morphology</w:t>
      </w:r>
      <w:r>
        <w:t xml:space="preserve"> </w:t>
      </w:r>
      <w:r>
        <w:t xml:space="preserve">(Grieb et al., 2022; Harper et al., 2022; Hewitt et al., 2024; Link et al., 2024; Medyukhina et al., 2020)</w:t>
      </w:r>
      <w:r>
        <w:t xml:space="preserve">. However, there are currently very few application of SPHARM to archaeological artifacts.</w:t>
      </w:r>
      <w:r>
        <w:t xml:space="preserve"> </w:t>
      </w:r>
      <w:r>
        <w:t xml:space="preserve">Muller et al. (2023)</w:t>
      </w:r>
      <w:r>
        <w:t xml:space="preserve"> </w:t>
      </w:r>
      <w:r>
        <w:t xml:space="preserve">used closed-source and proprietary Matlab software to investigate intentionality in the production of 150 limestone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 Our work builds on theirs by extending the use of spherical harmonics for the first time to study standardisation and to distinguish between spheroids and polyhedrons.</w:t>
      </w:r>
      <w:r>
        <w:t xml:space="preserve"> </w:t>
      </w:r>
      <w:r>
        <w:t xml:space="preserve">Noshita et al. (2025)</w:t>
      </w:r>
      <w:r>
        <w:t xml:space="preserve"> </w:t>
      </w:r>
      <w:r>
        <w:t xml:space="preserve">used Python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 Our work combines the merits of these previous studies to demonstrate an open source and reproducible analysis of stone artefacts using SPHARM, besides, we used rotation-invariant power spectrum and UMAP to extract the shape features, explore hidden structures in data,and then achieve grouping among flaked pieces, marking the first attempt of its kind. All these were completed in python. We hope to demonstrate the value of this method for quantitative shape analyses of objects that are roughly spherical in shape, such as the spheroids and cores in our case study from Qianshangying.</w:t>
      </w:r>
    </w:p>
    <w:tbl>
      <w:tblPr>
        <w:tblStyle w:val="Table"/>
        <w:tblW w:type="pct" w:w="5000"/>
        <w:tblLook w:firstRow="0" w:lastRow="0" w:firstColumn="0" w:lastColumn="0" w:noHBand="0" w:noVBand="0" w:val="0000"/>
        <w:jc w:val="start"/>
        <w:tblLayout w:type="fixed"/>
      </w:tblPr>
      <w:tblGrid>
        <w:gridCol w:w="7920"/>
      </w:tblGrid>
      <w:tr>
        <w:tc>
          <w:tcPr/>
          <w:bookmarkStart w:id="42" w:name="fig-SPHARM-steps"/>
          <w:p>
            <w:pPr>
              <w:pStyle w:val="Compact"/>
              <w:jc w:val="center"/>
            </w:pPr>
            <w:r>
              <w:drawing>
                <wp:inline>
                  <wp:extent cx="5943600" cy="4592781"/>
                  <wp:effectExtent b="0" l="0" r="0" t="0"/>
                  <wp:docPr descr="" title="" id="40" name="Picture"/>
                  <a:graphic>
                    <a:graphicData uri="http://schemas.openxmlformats.org/drawingml/2006/picture">
                      <pic:pic>
                        <pic:nvPicPr>
                          <pic:cNvPr descr="figures/SPHARM_steps.png" id="41" name="Picture"/>
                          <pic:cNvPicPr>
                            <a:picLocks noChangeArrowheads="1" noChangeAspect="1"/>
                          </pic:cNvPicPr>
                        </pic:nvPicPr>
                        <pic:blipFill>
                          <a:blip r:embed="rId39"/>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 steps of 3D spherical harmonics analysis</w:t>
            </w:r>
          </w:p>
          <w:bookmarkEnd w:id="42"/>
        </w:tc>
      </w:tr>
    </w:tbl>
    <w:p>
      <w:pPr>
        <w:pStyle w:val="BodyText"/>
      </w:pPr>
      <w:r>
        <w:t xml:space="preserve">As shown in the</w:t>
      </w:r>
      <w:r>
        <w:t xml:space="preserve"> </w:t>
      </w:r>
      <w:hyperlink w:anchor="fig-SPHARM-steps">
        <w:r>
          <w:rPr>
            <w:rStyle w:val="Hyperlink"/>
          </w:rPr>
          <w:t xml:space="preserve">Figure 4</w:t>
        </w:r>
      </w:hyperlink>
      <w:r>
        <w:t xml:space="preserve">, we first imported, cleaned, simplified and normalized the STL files of spheroids and cores to obtain 3D mesh vertices, which were then converted from Cartesian (x, y, z) to spherical coordinates (r, θ, φ)</w:t>
      </w:r>
      <w:r>
        <w:t xml:space="preserve"> </w:t>
      </w:r>
      <w:r>
        <w:t xml:space="preserve">(Link et al., 2024; Medyukhina et al., 2020)</w:t>
      </w:r>
      <w:r>
        <w:t xml:space="preserve">. Next, we interpolated radial values onto a regular spherical grid of N×N and then decomposed them using spherical harmonics based on the Driscoll–Healy sampling scheme</w:t>
      </w:r>
      <w:r>
        <w:t xml:space="preserve"> </w:t>
      </w:r>
      <w:r>
        <w:t xml:space="preserve">(Link et al., 2024; Medyukhina et al., 2020)</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 between models, we applied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UMAP is a non-linear technique designed to preserve both local and global data structure. Its grouping is based on the local and global similarity of shape data. This makes UMAP particularly well suited for complex shape data represented by spherical harmonic coefficients,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better interpret the grouping revealed by UMAP, we included a set of standard geometric models—such as sphere, rounded cube, ellipsoid (1.2:1:0.8), box (1.2:1:1), and disc-like forms (flattened and discoid core)—in the SPHARM analysis and UMAP embedding as visual references. Spheroids and cores were positioned in this morphospace based on their morphological similarity to these reference models: individuals that cluster more closely to a specific standard form exhibit corresponding shape characteristics.</w:t>
      </w:r>
    </w:p>
    <w:bookmarkEnd w:id="43"/>
    <w:bookmarkStart w:id="44" w:name="spherical-harmonic-energy"/>
    <w:p>
      <w:pPr>
        <w:pStyle w:val="Heading3"/>
      </w:pPr>
      <w:r>
        <w:t xml:space="preserve">Spherical Harmonic Energy</w:t>
      </w:r>
    </w:p>
    <w:p>
      <w:pPr>
        <w:pStyle w:val="FirstParagraph"/>
      </w:pPr>
      <w:r>
        <w:t xml:space="preserve">Additionally, we computed the spherical harmonic energy (SHE), defined as the sum of squared normalized spherical harmonic coefficients for each degree. This provides a rotation-invariant measure of shape complexity across spatial frequencies. For normalized shapes, this total energy approaches one for a perfect sphere, while more irregular forms yield higher values.</w:t>
      </w:r>
    </w:p>
    <w:p>
      <w:pPr>
        <w:pStyle w:val="BodyText"/>
      </w:pPr>
      <w:r>
        <w:t xml:space="preserve">Notably,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 – 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44"/>
    <w:bookmarkEnd w:id="45"/>
    <w:bookmarkStart w:id="48" w:name="technological-analysis"/>
    <w:p>
      <w:pPr>
        <w:pStyle w:val="Heading2"/>
      </w:pPr>
      <w:r>
        <w:t xml:space="preserve">Technological Analysis</w:t>
      </w:r>
    </w:p>
    <w:p>
      <w:pPr>
        <w:pStyle w:val="FirstParagraph"/>
      </w:pPr>
      <w:r>
        <w:t xml:space="preserve">To complement our shape analysis, 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6" w:name="diacritical-analysis"/>
    <w:p>
      <w:pPr>
        <w:pStyle w:val="Heading3"/>
      </w:pPr>
      <w:r>
        <w:t xml:space="preserve">Diacritical analysis</w:t>
      </w:r>
    </w:p>
    <w:p>
      <w:pPr>
        <w:pStyle w:val="FirstParagraph"/>
      </w:pPr>
      <w:r>
        <w:t xml:space="preserve">We applied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scars order, allowing us to figure out the organization of removals. All spheroids, polyhedrons and multifacial cores are included in the analysis to assess whether removals organization differs systematically within these groups.</w:t>
      </w:r>
    </w:p>
    <w:p>
      <w:pPr>
        <w:pStyle w:val="BodyText"/>
      </w:pPr>
      <w:r>
        <w:t xml:space="preserve">Following the reconstruction of reduction sequences, we adopted an inductive approach to infer exploitation models of spheroids—that is, the removal patterns and associated stages employed in a spheroid. Our goal was to reconstruct the complete chaîne opératoire of spheroids—from the selection of raw material and initial blank to the final product. If consistent patterns can be observed, they may indicate shared reduction schemes or conceptual templates.We also explored whether multifacial cores and polyhedrons may represent earlier stages in spheroid reduction sequences, contributing to understanding the technological relationship between these types.</w:t>
      </w:r>
    </w:p>
    <w:bookmarkEnd w:id="46"/>
    <w:bookmarkStart w:id="47"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extracting scar vectors from each core and calculating eigenvalues to derive the isotropic ratio and elongation ratio, these steps were carried out in Geomagic Wrap, Rhino8 and R 4.5.1.</w:t>
      </w:r>
    </w:p>
    <w:p>
      <w:pPr>
        <w:pStyle w:val="BodyText"/>
      </w:pPr>
      <w:r>
        <w:t xml:space="preserve">Results are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7"/>
    <w:bookmarkEnd w:id="48"/>
    <w:bookmarkStart w:id="51" w:name="efficiency-of-shaping-strategy"/>
    <w:p>
      <w:pPr>
        <w:pStyle w:val="Heading2"/>
      </w:pPr>
      <w:r>
        <w:t xml:space="preserve">Efficiency of shaping strategy</w:t>
      </w:r>
    </w:p>
    <w:p>
      <w:pPr>
        <w:pStyle w:val="FirstParagraph"/>
      </w:pPr>
      <w:r>
        <w:t xml:space="preserve">This section aims to investigate how the morphology of spheroids evolves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9"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SDI is defined as the number of flake scars divided by the total 3D surface area, the SDI serves as a robust indicator of core reduction intensity, following</w:t>
      </w:r>
      <w:r>
        <w:t xml:space="preserve"> </w:t>
      </w:r>
      <w:r>
        <w:t xml:space="preserve">Clarkson (2013)</w:t>
      </w:r>
      <w:r>
        <w:t xml:space="preserve">. It has been demonstrated to effectively capture the dynamic nature of the reduction process. In all three metrics, higher values represent more advanced stages of reduction. Scar counts and surface area measurements were extracted using Geomagic Wrap.</w:t>
      </w:r>
    </w:p>
    <w:bookmarkEnd w:id="49"/>
    <w:bookmarkStart w:id="50"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Higher mean edge angles suggest a more spherical geometry. Ten edge intersections were randomly sampled per spheroid. Angles were calculated following</w:t>
      </w:r>
      <w:r>
        <w:t xml:space="preserve"> </w:t>
      </w:r>
      <w:r>
        <w:t xml:space="preserve">Titton et al. (2020)</w:t>
      </w:r>
      <w:r>
        <w:t xml:space="preserve"> </w:t>
      </w:r>
      <w:r>
        <w:t xml:space="preserve">by constructing triangles at ridge intersections, extracting vertex coordinates in Geomagic Wrap, and computed angles from the coordinates using trigonometric functions in R. Mean surface curvature is a proxy for surface roughness, and higher mean surface curvature indicates a smoother surface. We estimated local curvature using the k-nearest neighbors method to fit a best-fit plane at each vertex</w:t>
      </w:r>
      <w:r>
        <w:t xml:space="preserve"> </w:t>
      </w:r>
      <w:r>
        <w:t xml:space="preserve">(Muller et al., 2023)</w:t>
      </w:r>
      <w:r>
        <w:t xml:space="preserve">. The deviation between actual surface points and this fitted plane reflects surface roughness. Theses calculations were completed in Python.</w:t>
      </w:r>
    </w:p>
    <w:p>
      <w:pPr>
        <w:pStyle w:val="BodyText"/>
      </w:pPr>
      <w:r>
        <w:t xml:space="preserve">Together, these four variables allowed us to assess whether more extensively reduced spheroids display more standardized, symmetrical, and regular morphologies—characteristics expected in deliberate shaping strategies. We conducted Spearman’s rank correlation analysis between two sets of variables—reduction intensity indicators and morphological attributes. This non-parametric method is appropriate for small sample sizes and data that do not follow a normal distribution. Spheroids and sub-spheroids from Qianshangying were included in the analysis.</w:t>
      </w:r>
    </w:p>
    <w:bookmarkEnd w:id="50"/>
    <w:bookmarkEnd w:id="51"/>
    <w:bookmarkEnd w:id="52"/>
    <w:bookmarkStart w:id="90" w:name="results"/>
    <w:p>
      <w:pPr>
        <w:pStyle w:val="Heading1"/>
      </w:pPr>
      <w:r>
        <w:t xml:space="preserve">Results</w:t>
      </w:r>
    </w:p>
    <w:bookmarkStart w:id="70" w:name="morphometric-analysis-1"/>
    <w:p>
      <w:pPr>
        <w:pStyle w:val="Heading2"/>
      </w:pPr>
      <w:r>
        <w:t xml:space="preserve">Morphometric analysis</w:t>
      </w:r>
    </w:p>
    <w:tbl>
      <w:tblPr>
        <w:tblStyle w:val="Table"/>
        <w:tblW w:type="pct" w:w="5000"/>
        <w:tblLook w:firstRow="0" w:lastRow="0" w:firstColumn="0" w:lastColumn="0" w:noHBand="0" w:noVBand="0" w:val="0000"/>
        <w:jc w:val="start"/>
        <w:tblLayout w:type="fixed"/>
      </w:tblPr>
      <w:tblGrid>
        <w:gridCol w:w="7920"/>
      </w:tblGrid>
      <w:tr>
        <w:tc>
          <w:tcPr/>
          <w:bookmarkStart w:id="53" w:name="tbl-1"/>
          <w:p>
            <w:pPr>
              <w:jc w:val="center"/>
            </w:pPr>
            <w:pPr>
              <w:jc w:val="start"/>
              <w:spacing w:before="200"/>
              <w:pStyle w:val="ImageCaption"/>
            </w:pPr>
            <w:r>
              <w:t xml:space="preserve">Table 2: Summary of core typology and morphological parameters.</w:t>
            </w:r>
          </w:p>
          <w:tbl>
            <w:tblPr>
              <w:tblStyle w:val="Table"/>
              <w:tblW w:type="pct" w:w="5000"/>
              <w:tblLook w:firstRow="1" w:lastRow="0" w:firstColumn="0" w:lastColumn="0" w:noHBand="0" w:noVBand="0" w:val="0020"/>
              <w:jc w:val="start"/>
              <w:tblLayout w:type="fixed"/>
            </w:tblPr>
            <w:tblGrid>
              <w:gridCol w:w="691"/>
              <w:gridCol w:w="691"/>
              <w:gridCol w:w="1068"/>
              <w:gridCol w:w="1068"/>
              <w:gridCol w:w="754"/>
              <w:gridCol w:w="1194"/>
              <w:gridCol w:w="691"/>
              <w:gridCol w:w="817"/>
              <w:gridCol w:w="942"/>
            </w:tblGrid>
            <w:tr>
              <w:trPr>
                <w:tblHeader w:val="true"/>
              </w:trPr>
              <w:tc>
                <w:tcPr/>
                <w:p>
                  <w:pPr>
                    <w:pStyle w:val="Compact"/>
                    <w:jc w:val="left"/>
                    <w:jc w:val="center"/>
                  </w:pPr>
                  <w:r>
                    <w:t xml:space="preserve">ID</w:t>
                  </w:r>
                </w:p>
              </w:tc>
              <w:tc>
                <w:tcPr/>
                <w:p>
                  <w:pPr>
                    <w:pStyle w:val="Compact"/>
                    <w:jc w:val="left"/>
                    <w:jc w:val="center"/>
                  </w:pPr>
                  <w:r>
                    <w:t xml:space="preserve">Blank type</w:t>
                  </w:r>
                </w:p>
              </w:tc>
              <w:tc>
                <w:tcPr/>
                <w:p>
                  <w:pPr>
                    <w:pStyle w:val="Compact"/>
                    <w:jc w:val="left"/>
                    <w:jc w:val="center"/>
                  </w:pPr>
                  <w:r>
                    <w:t xml:space="preserve">Blank morphology</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SPHARM power</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Box</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53"/>
          <w:p/>
        </w:tc>
      </w:tr>
    </w:tbl>
    <w:tbl>
      <w:tblPr>
        <w:tblStyle w:val="Table"/>
        <w:tblW w:type="pct" w:w="5000"/>
        <w:tblLook w:firstRow="0" w:lastRow="0" w:firstColumn="0" w:lastColumn="0" w:noHBand="0" w:noVBand="0" w:val="0000"/>
        <w:jc w:val="start"/>
        <w:tblLayout w:type="fixed"/>
      </w:tblPr>
      <w:tblGrid>
        <w:gridCol w:w="7920"/>
      </w:tblGrid>
      <w:tr>
        <w:tc>
          <w:tcPr/>
          <w:bookmarkStart w:id="57" w:name="fig-sp-summary"/>
          <w:p>
            <w:pPr>
              <w:pStyle w:val="Compact"/>
              <w:jc w:val="center"/>
            </w:pPr>
            <w:r>
              <w:drawing>
                <wp:inline>
                  <wp:extent cx="5943600" cy="5283200"/>
                  <wp:effectExtent b="0" l="0" r="0" t="0"/>
                  <wp:docPr descr="" title="" id="55" name="Picture"/>
                  <a:graphic>
                    <a:graphicData uri="http://schemas.openxmlformats.org/drawingml/2006/picture">
                      <pic:pic>
                        <pic:nvPicPr>
                          <pic:cNvPr descr="figures/panel_spharm_plots.png" id="56" name="Picture"/>
                          <pic:cNvPicPr>
                            <a:picLocks noChangeArrowheads="1" noChangeAspect="1"/>
                          </pic:cNvPicPr>
                        </pic:nvPicPr>
                        <pic:blipFill>
                          <a:blip r:embed="rId54"/>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Mean spherical harmonic power spectrum. B. Variance distribution by spherical harmonic degree. C. Distribution of SPHARM power and sphericity by artefact type. D. Correlation of sphericity and spherical harmonic energy</w:t>
            </w:r>
          </w:p>
          <w:bookmarkEnd w:id="57"/>
        </w:tc>
      </w:tr>
    </w:tbl>
    <w:p>
      <w:pPr>
        <w:pStyle w:val="BodyText"/>
      </w:pPr>
      <w:hyperlink w:anchor="fig-sp-summary">
        <w:r>
          <w:rPr>
            <w:rStyle w:val="Hyperlink"/>
          </w:rPr>
          <w:t xml:space="preserve">Figure 5</w:t>
        </w:r>
      </w:hyperlink>
    </w:p>
    <w:tbl>
      <w:tblPr>
        <w:tblStyle w:val="Table"/>
        <w:tblW w:type="pct" w:w="5000"/>
        <w:tblLook w:firstRow="0" w:lastRow="0" w:firstColumn="0" w:lastColumn="0" w:noHBand="0" w:noVBand="0" w:val="0000"/>
        <w:jc w:val="start"/>
        <w:tblLayout w:type="fixed"/>
      </w:tblPr>
      <w:tblGrid>
        <w:gridCol w:w="7920"/>
      </w:tblGrid>
      <w:tr>
        <w:tc>
          <w:tcPr/>
          <w:bookmarkStart w:id="61" w:name="fig-SPHARM-Reconstruction-by-Degree"/>
          <w:p>
            <w:pPr>
              <w:pStyle w:val="Compact"/>
              <w:jc w:val="center"/>
            </w:pPr>
            <w:r>
              <w:drawing>
                <wp:inline>
                  <wp:extent cx="5943600" cy="3962865"/>
                  <wp:effectExtent b="0" l="0" r="0" t="0"/>
                  <wp:docPr descr="" title="" id="59" name="Picture"/>
                  <a:graphic>
                    <a:graphicData uri="http://schemas.openxmlformats.org/drawingml/2006/picture">
                      <pic:pic>
                        <pic:nvPicPr>
                          <pic:cNvPr descr="figures/SPHARM_reconstruction.png" id="60" name="Picture"/>
                          <pic:cNvPicPr>
                            <a:picLocks noChangeArrowheads="1" noChangeAspect="1"/>
                          </pic:cNvPicPr>
                        </pic:nvPicPr>
                        <pic:blipFill>
                          <a:blip r:embed="rId58"/>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Shape reconstruction of archaeological spheroids using SPHARM (various lmax levels)</w:t>
            </w:r>
          </w:p>
          <w:bookmarkEnd w:id="61"/>
        </w:tc>
      </w:tr>
    </w:tbl>
    <w:tbl>
      <w:tblPr>
        <w:tblStyle w:val="Table"/>
        <w:tblW w:type="pct" w:w="5000"/>
        <w:tblLook w:firstRow="0" w:lastRow="0" w:firstColumn="0" w:lastColumn="0" w:noHBand="0" w:noVBand="0" w:val="0000"/>
        <w:jc w:val="start"/>
        <w:tblLayout w:type="fixed"/>
      </w:tblPr>
      <w:tblGrid>
        <w:gridCol w:w="7920"/>
      </w:tblGrid>
      <w:tr>
        <w:tc>
          <w:tcPr/>
          <w:bookmarkStart w:id="65" w:name="fig-UMAP-SPHARM-clusters"/>
          <w:p>
            <w:pPr>
              <w:pStyle w:val="Compact"/>
              <w:jc w:val="center"/>
            </w:pPr>
            <w:r>
              <w:drawing>
                <wp:inline>
                  <wp:extent cx="5943600" cy="3465236"/>
                  <wp:effectExtent b="0" l="0" r="0" t="0"/>
                  <wp:docPr descr="" title="" id="63" name="Picture"/>
                  <a:graphic>
                    <a:graphicData uri="http://schemas.openxmlformats.org/drawingml/2006/picture">
                      <pic:pic>
                        <pic:nvPicPr>
                          <pic:cNvPr descr="figures/UMAP_SPHARM_clusters.png" id="64" name="Picture"/>
                          <pic:cNvPicPr>
                            <a:picLocks noChangeArrowheads="1" noChangeAspect="1"/>
                          </pic:cNvPicPr>
                        </pic:nvPicPr>
                        <pic:blipFill>
                          <a:blip r:embed="rId62"/>
                          <a:stretch>
                            <a:fillRect/>
                          </a:stretch>
                        </pic:blipFill>
                        <pic:spPr bwMode="auto">
                          <a:xfrm>
                            <a:off x="0" y="0"/>
                            <a:ext cx="5943600" cy="3465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UMAP plot showing distinct clusters of shapes derived from SPHARM</w:t>
            </w:r>
          </w:p>
          <w:bookmarkEnd w:id="65"/>
        </w:tc>
      </w:tr>
    </w:tbl>
    <w:tbl>
      <w:tblPr>
        <w:tblStyle w:val="Table"/>
        <w:tblW w:type="pct" w:w="5000"/>
        <w:tblLook w:firstRow="0" w:lastRow="0" w:firstColumn="0" w:lastColumn="0" w:noHBand="0" w:noVBand="0" w:val="0000"/>
        <w:jc w:val="start"/>
        <w:tblLayout w:type="fixed"/>
      </w:tblPr>
      <w:tblGrid>
        <w:gridCol w:w="7920"/>
      </w:tblGrid>
      <w:tr>
        <w:tc>
          <w:tcPr/>
          <w:bookmarkStart w:id="69" w:name="fig-UMAP-SPHARM-samples"/>
          <w:p>
            <w:pPr>
              <w:pStyle w:val="Compact"/>
              <w:jc w:val="center"/>
            </w:pPr>
            <w:r>
              <w:drawing>
                <wp:inline>
                  <wp:extent cx="5943600" cy="3465236"/>
                  <wp:effectExtent b="0" l="0" r="0" t="0"/>
                  <wp:docPr descr="" title="" id="67" name="Picture"/>
                  <a:graphic>
                    <a:graphicData uri="http://schemas.openxmlformats.org/drawingml/2006/picture">
                      <pic:pic>
                        <pic:nvPicPr>
                          <pic:cNvPr descr="figures/UMAP_SPHARM_samples.png" id="68" name="Picture"/>
                          <pic:cNvPicPr>
                            <a:picLocks noChangeArrowheads="1" noChangeAspect="1"/>
                          </pic:cNvPicPr>
                        </pic:nvPicPr>
                        <pic:blipFill>
                          <a:blip r:embed="rId66"/>
                          <a:stretch>
                            <a:fillRect/>
                          </a:stretch>
                        </pic:blipFill>
                        <pic:spPr bwMode="auto">
                          <a:xfrm>
                            <a:off x="0" y="0"/>
                            <a:ext cx="5943600" cy="3465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UMAP plot of SPHARM-derived shape features colored by types</w:t>
            </w:r>
          </w:p>
          <w:bookmarkEnd w:id="69"/>
        </w:tc>
      </w:tr>
    </w:tbl>
    <w:p>
      <w:pPr>
        <w:pStyle w:val="BodyText"/>
      </w:pPr>
      <w:r>
        <w:t xml:space="preserve">We calculated the spherical sphericity and spherical harmonic energy (SHE) to both the spheroids (n = 42) and all other multifacial and polyhedron cores (n = 29) in the Qianshangying assemblage. These analyses aim to assess whether spheroids are morphologically distinct from other cores, and whether they exhibit standardized shapes—an essential criterion for evaluating the existence of deliberate shaping strategies and a goal product. In addition, we compare quantitative outcomes with traditional typological classifications to assess their consistency. We present a summary table listing each core’s blank morphology and type, final morphology, and cortex coverage here in</w:t>
      </w:r>
      <w:r>
        <w:t xml:space="preserve"> </w:t>
      </w:r>
      <w:hyperlink w:anchor="tbl-1">
        <w:r>
          <w:rPr>
            <w:rStyle w:val="Hyperlink"/>
          </w:rPr>
          <w:t xml:space="preserve">Table 2</w:t>
        </w:r>
      </w:hyperlink>
      <w:r>
        <w:t xml:space="preserve">.</w:t>
      </w:r>
    </w:p>
    <w:p>
      <w:pPr>
        <w:pStyle w:val="BodyText"/>
      </w:pPr>
      <w:r>
        <w:t xml:space="preserve">Our results of sphericity reveals a clear difference between spheroids and multifacial cores/polyhedra. The mean sphericity of spheroids (0.906) is notably higher than that of multifacial cores and polyhedron (0.861), with a Mann-Whitney U test yielding U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6</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Subsequently, we computed the rotation-invariant power spectrum. Here we present the power spectrum of different groups, including spheroids, multifacial cores, polyhedrons, and the total of all these types combined. The results show that the spheroid group has significantly lower power than polyhedrons and multifacial cores at both low and high degrees, indicating that 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suggesting that these low-order terms capture the most significant shape variation. Specifically, l=2 reflects global asymmetries, such as elongation or flattening, while degree 3 is more sensitive to localized features like curvature and edge protrusions.</w:t>
      </w:r>
    </w:p>
    <w:p>
      <w:pPr>
        <w:pStyle w:val="BodyText"/>
      </w:pPr>
      <w:r>
        <w:t xml:space="preserve">To reduce the dimensionality and visualize the structure of shape variation, we applied a Uniform Manifold Approximation and Projection (UMAP) to the normalized power spectrum. The UMAP reveals distinct clusters in the first two dimensions of the shape space. These clusters correspond to reference models, sphere, rounded cube, ellipsoid, box and disc-shaped core (</w:t>
      </w:r>
      <w:hyperlink w:anchor="fig-UMAP-SPHARM-clusters">
        <w:r>
          <w:rPr>
            <w:rStyle w:val="Hyperlink"/>
          </w:rPr>
          <w:t xml:space="preserve">Figure 7</w:t>
        </w:r>
      </w:hyperlink>
      <w:r>
        <w:t xml:space="preserve">). This demonstrates that these cores occupy distinguishable regions in the harmonic shape space, with proximity to the sphere or elongation/flattening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w:t>
      </w:r>
      <w:r>
        <w:t xml:space="preserve"> </w:t>
      </w:r>
      <w:r>
        <w:t xml:space="preserve">“</w:t>
      </w:r>
      <w:r>
        <w:t xml:space="preserve">cube</w:t>
      </w:r>
      <w:r>
        <w:t xml:space="preserve">”</w:t>
      </w:r>
      <w:r>
        <w:t xml:space="preserve"> </w:t>
      </w:r>
      <w:r>
        <w:t xml:space="preserve">and</w:t>
      </w:r>
      <w:r>
        <w:t xml:space="preserve"> </w:t>
      </w:r>
      <w:r>
        <w:t xml:space="preserve">“</w:t>
      </w:r>
      <w:r>
        <w:t xml:space="preserve">ellipsoid</w:t>
      </w:r>
      <w:r>
        <w:t xml:space="preserve">”</w:t>
      </w:r>
      <w:r>
        <w:t xml:space="preserve"> </w:t>
      </w:r>
      <w:r>
        <w:t xml:space="preserve">clusters, indicating their consistent, near-spherical shapes (</w:t>
      </w:r>
      <w:hyperlink w:anchor="fig-UMAP-SPHARM-samples">
        <w:r>
          <w:rPr>
            <w:rStyle w:val="Hyperlink"/>
          </w:rPr>
          <w:t xml:space="preserve">Figure 8</w:t>
        </w:r>
      </w:hyperlink>
      <w:r>
        <w:t xml:space="preserve">). However, some Multifacial cores and Polyhedron also appeared in the near-spherical region. This can be attributed to their high cortex coverage or limited flake removals, which likely preserved their originally rounded forms and led to their grouping alongside more intentionally shaped spheroids.</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18.65, df = 3, p =</w:t>
      </w:r>
      <w:r>
        <w:t xml:space="preserve"> </w:t>
      </w:r>
      <m:oMath>
        <m:r>
          <m:t>3.23</m:t>
        </m:r>
        <m:r>
          <m:rPr>
            <m:sty m:val="p"/>
          </m:rPr>
          <m:t>×</m:t>
        </m:r>
        <m:sSup>
          <m:e>
            <m:r>
              <m:t>10</m:t>
            </m:r>
          </m:e>
          <m:sup>
            <m:r>
              <m:rPr>
                <m:sty m:val="p"/>
              </m:rPr>
              <m:t>−</m:t>
            </m:r>
            <m:r>
              <m:t>4</m:t>
            </m:r>
          </m:sup>
        </m:sSup>
      </m:oMath>
      <w:r>
        <w:t xml:space="preserve">). The result shows statistically significant differences in sphericity among the shape clusters, further supporting the effectiveness of the spherical harmonic approach in capturing meaningful morphological variation.</w:t>
      </w:r>
    </w:p>
    <w:p>
      <w:pPr>
        <w:pStyle w:val="BodyText"/>
      </w:pPr>
      <w:r>
        <w:t xml:space="preserve">The spherical harmonic energy (SHE), a novel metric introduced here, quantifies the geometric approximation of core morphology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of sphericity (</w:t>
      </w:r>
      <w:hyperlink w:anchor="fig-sp-summary">
        <w:r>
          <w:rPr>
            <w:rStyle w:val="Hyperlink"/>
          </w:rPr>
          <w:t xml:space="preserve">Figure 5</w:t>
        </w:r>
      </w:hyperlink>
      <w:r>
        <w:t xml:space="preserve">).</w:t>
      </w:r>
    </w:p>
    <w:p>
      <w:pPr>
        <w:pStyle w:val="BodyText"/>
      </w:pPr>
      <w:r>
        <w:t xml:space="preserve">Statistical comparisons reveal distinct SHE distributions between morphological classes: spheroids and sub-spheroids exhibit mean SHE = 1.013 (SD = 0.006), whereas multifacial cores and polyhedron demonstrate significantly higher irregularity (mean SHE = 1.032, SD = 0.017). The Kruskal-Wallis test confirms robust inter-group divergence (</w:t>
      </w:r>
      <m:oMath>
        <m:sSup>
          <m:e>
            <m:r>
              <m:t>χ</m:t>
            </m:r>
          </m:e>
          <m:sup>
            <m:r>
              <m:t>2</m:t>
            </m:r>
          </m:sup>
        </m:sSup>
      </m:oMath>
      <w:r>
        <w:t xml:space="preserve"> </w:t>
      </w:r>
      <w:r>
        <w:t xml:space="preserve">= 19.11, df = 3, p =</w:t>
      </w:r>
      <w:r>
        <w:t xml:space="preserve"> </w:t>
      </w:r>
      <m:oMath>
        <m:r>
          <m:t>2.60</m:t>
        </m:r>
        <m:r>
          <m:rPr>
            <m:sty m:val="p"/>
          </m:rPr>
          <m:t>×</m:t>
        </m:r>
        <m:sSup>
          <m:e>
            <m:r>
              <m:t>10</m:t>
            </m:r>
          </m:e>
          <m:sup>
            <m:r>
              <m:rPr>
                <m:sty m:val="p"/>
              </m:rPr>
              <m:t>−</m:t>
            </m:r>
            <m:r>
              <m:t>4</m:t>
            </m:r>
          </m:sup>
        </m:sSup>
      </m:oMath>
      <w:r>
        <w:t xml:space="preserve">), proving the distinguishability of spheroids from Qianshangying</w:t>
      </w:r>
      <w:r>
        <w:t xml:space="preserve"> </w:t>
      </w:r>
    </w:p>
    <w:p>
      <w:pPr>
        <w:pStyle w:val="BodyText"/>
      </w:pPr>
      <w:r>
        <w:t xml:space="preserve">The pursuit of a standardized and distinct spherical form among spheroids is further supported by our findings. Using the Coefficient of Variation (CV)—defined as the sample standard deviation divided by the sample mean—we assessed the consistency of sphericity within the 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sub/spheroids maintain a highly standardized rounded shape. In contrast, multifacial cores combined with polyhedron has a higher CV of 0.039 and 0.017 respectively.</w:t>
      </w:r>
    </w:p>
    <w:bookmarkEnd w:id="70"/>
    <w:bookmarkStart w:id="83" w:name="technological-analysis-1"/>
    <w:p>
      <w:pPr>
        <w:pStyle w:val="Heading2"/>
      </w:pPr>
      <w:r>
        <w:t xml:space="preserve">Technological analysis</w:t>
      </w:r>
    </w:p>
    <w:p>
      <w:pPr>
        <w:pStyle w:val="FirstParagraph"/>
      </w:pPr>
      <w:r>
        <w:t xml:space="preserve">Diacritical analysis of spheroid surfaces reveals a structured and recurrent reduction sequence comprising three phases (</w:t>
      </w:r>
      <w:hyperlink w:anchor="fig-spheroids-2797-1098">
        <w:r>
          <w:rPr>
            <w:rStyle w:val="Hyperlink"/>
          </w:rPr>
          <w:t xml:space="preserve">Figure 10</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strategy. A notable feature is the angle between the face’s ventral surface and platform (i.e. core edge angle), which often exceeds 90°, forming a secant plan rather than parallel plan. This phase contributes significantly to the increasingly spherical shape of the artifact. Phase three was the production of small scars on ridges or intersections of previous flake scars, resulting in a rounding and smoother surface, further enhancing sphericity. It is important to note that due to the high degree of reduction intensity observed in most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Figure 11</w:t>
        </w:r>
      </w:hyperlink>
      <w:r>
        <w:t xml:space="preserve">.</w:t>
      </w:r>
    </w:p>
    <w:p>
      <w:pPr>
        <w:pStyle w:val="BodyText"/>
      </w:pPr>
      <w:r>
        <w:t xml:space="preserve">Scar orientation analysis further supports the interpretation of a systematic reduction sequence in the production of Qianshangying spheroids.</w:t>
      </w:r>
      <w:r>
        <w:t xml:space="preserve"> </w:t>
      </w:r>
      <w:hyperlink w:anchor="fig-benn-ternary-plot">
        <w:r>
          <w:rPr>
            <w:rStyle w:val="Hyperlink"/>
          </w:rPr>
          <w:t xml:space="preserve">Figure 9</w:t>
        </w:r>
      </w:hyperlink>
      <w:r>
        <w:t xml:space="preserve"> </w:t>
      </w:r>
      <w:r>
        <w:t xml:space="preserve">shows that spheroids tend to cluster together, with elongation ratios ranging from 0.403 to 0.637 and isotropy ratios from 0.164 to 0.497</w:t>
      </w:r>
      <w:r>
        <w:t xml:space="preserve"> </w:t>
      </w:r>
      <w:r>
        <w:t xml:space="preserve">. These elongation ratios suggest that the spheroids underwent unidirectional or bidirectional total exploitation, typical of Phase one, resulting in relatively high elongation values. In addition, the peripheral centripetal exploitation, namely Phase tow, appears to have contributed to a certain degree of isotropy in scar arrangement—higher isotropy ratios are associated with more spherical shapes. Subspheroids exhibit greater variability in both elongation and isotropy ratios, indicating less consistent reduction intensity.</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polyhedrons—despite showing a higher degree of reduction—follow a similarly unstructured sequence. This distinction highlights the fundamental technological difference between polyhedrons and spheroids at Qianshangying. Where they used to be considered as a continuous reduction process, our results show that in fact polyhedrons represent exhausted cores, whereas spheroids reflect the presence of a distinct conceptual template and systematic reduction plan.</w:t>
      </w:r>
    </w:p>
    <w:tbl>
      <w:tblPr>
        <w:tblStyle w:val="Table"/>
        <w:tblW w:type="pct" w:w="5000"/>
        <w:tblLook w:firstRow="0" w:lastRow="0" w:firstColumn="0" w:lastColumn="0" w:noHBand="0" w:noVBand="0" w:val="0000"/>
        <w:jc w:val="start"/>
        <w:tblLayout w:type="fixed"/>
      </w:tblPr>
      <w:tblGrid>
        <w:gridCol w:w="7920"/>
      </w:tblGrid>
      <w:tr>
        <w:tc>
          <w:tcPr/>
          <w:bookmarkStart w:id="74" w:name="fig-benn-ternary-plot"/>
          <w:p>
            <w:pPr>
              <w:pStyle w:val="Compact"/>
              <w:jc w:val="center"/>
            </w:pPr>
            <w:r>
              <w:drawing>
                <wp:inline>
                  <wp:extent cx="5943600" cy="4754880"/>
                  <wp:effectExtent b="0" l="0" r="0" t="0"/>
                  <wp:docPr descr="" title="" id="72" name="Picture"/>
                  <a:graphic>
                    <a:graphicData uri="http://schemas.openxmlformats.org/drawingml/2006/picture">
                      <pic:pic>
                        <pic:nvPicPr>
                          <pic:cNvPr descr="paper_files/figure-docx/fig-benn-ternary-plot-1.png" id="73" name="Picture"/>
                          <pic:cNvPicPr>
                            <a:picLocks noChangeArrowheads="1" noChangeAspect="1"/>
                          </pic:cNvPicPr>
                        </pic:nvPicPr>
                        <pic:blipFill>
                          <a:blip r:embed="rId7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Ternary plot showing flake scar orientation analysis</w:t>
            </w:r>
          </w:p>
          <w:bookmarkEnd w:id="74"/>
        </w:tc>
      </w:tr>
    </w:tbl>
    <w:tbl>
      <w:tblPr>
        <w:tblStyle w:val="Table"/>
        <w:tblW w:type="pct" w:w="5000"/>
        <w:tblLook w:firstRow="0" w:lastRow="0" w:firstColumn="0" w:lastColumn="0" w:noHBand="0" w:noVBand="0" w:val="0000"/>
        <w:jc w:val="start"/>
        <w:tblLayout w:type="fixed"/>
      </w:tblPr>
      <w:tblGrid>
        <w:gridCol w:w="7920"/>
      </w:tblGrid>
      <w:tr>
        <w:tc>
          <w:tcPr/>
          <w:bookmarkStart w:id="78" w:name="fig-spheroids-2797-1098"/>
          <w:p>
            <w:pPr>
              <w:pStyle w:val="Compact"/>
              <w:jc w:val="center"/>
            </w:pPr>
            <w:r>
              <w:drawing>
                <wp:inline>
                  <wp:extent cx="5943600" cy="3962865"/>
                  <wp:effectExtent b="0" l="0" r="0" t="0"/>
                  <wp:docPr descr="" title="" id="76" name="Picture"/>
                  <a:graphic>
                    <a:graphicData uri="http://schemas.openxmlformats.org/drawingml/2006/picture">
                      <pic:pic>
                        <pic:nvPicPr>
                          <pic:cNvPr descr="figures/spheroids_2797_1098.png" id="77" name="Picture"/>
                          <pic:cNvPicPr>
                            <a:picLocks noChangeArrowheads="1" noChangeAspect="1"/>
                          </pic:cNvPicPr>
                        </pic:nvPicPr>
                        <pic:blipFill>
                          <a:blip r:embed="rId75"/>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Diacritical analysis of Qianshangying spheroids</w:t>
            </w:r>
          </w:p>
          <w:bookmarkEnd w:id="78"/>
        </w:tc>
      </w:tr>
    </w:tbl>
    <w:tbl>
      <w:tblPr>
        <w:tblStyle w:val="Table"/>
        <w:tblW w:type="pct" w:w="5000"/>
        <w:tblLook w:firstRow="0" w:lastRow="0" w:firstColumn="0" w:lastColumn="0" w:noHBand="0" w:noVBand="0" w:val="0000"/>
        <w:jc w:val="start"/>
        <w:tblLayout w:type="fixed"/>
      </w:tblPr>
      <w:tblGrid>
        <w:gridCol w:w="7920"/>
      </w:tblGrid>
      <w:tr>
        <w:tc>
          <w:tcPr/>
          <w:bookmarkStart w:id="82" w:name="fig-shaping-process"/>
          <w:p>
            <w:pPr>
              <w:pStyle w:val="Compact"/>
              <w:jc w:val="center"/>
            </w:pPr>
            <w:r>
              <w:drawing>
                <wp:inline>
                  <wp:extent cx="5943600" cy="2994165"/>
                  <wp:effectExtent b="0" l="0" r="0" t="0"/>
                  <wp:docPr descr="" title="" id="80" name="Picture"/>
                  <a:graphic>
                    <a:graphicData uri="http://schemas.openxmlformats.org/drawingml/2006/picture">
                      <pic:pic>
                        <pic:nvPicPr>
                          <pic:cNvPr descr="figures/shaping_process.png" id="81" name="Picture"/>
                          <pic:cNvPicPr>
                            <a:picLocks noChangeArrowheads="1" noChangeAspect="1"/>
                          </pic:cNvPicPr>
                        </pic:nvPicPr>
                        <pic:blipFill>
                          <a:blip r:embed="rId79"/>
                          <a:stretch>
                            <a:fillRect/>
                          </a:stretch>
                        </pic:blipFill>
                        <pic:spPr bwMode="auto">
                          <a:xfrm>
                            <a:off x="0" y="0"/>
                            <a:ext cx="5943600" cy="29941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hypothesis of QSY spheroid shaping process</w:t>
            </w:r>
          </w:p>
          <w:bookmarkEnd w:id="82"/>
        </w:tc>
      </w:tr>
    </w:tbl>
    <w:bookmarkEnd w:id="83"/>
    <w:bookmarkStart w:id="89" w:name="shaping-strategy-efficiency"/>
    <w:p>
      <w:pPr>
        <w:pStyle w:val="Heading2"/>
      </w:pPr>
      <w:r>
        <w:t xml:space="preserve">Shaping strategy efficiency</w:t>
      </w:r>
    </w:p>
    <w:tbl>
      <w:tblPr>
        <w:tblStyle w:val="Table"/>
        <w:tblW w:type="pct" w:w="5000"/>
        <w:tblLook w:firstRow="0" w:lastRow="0" w:firstColumn="0" w:lastColumn="0" w:noHBand="0" w:noVBand="0" w:val="0000"/>
        <w:jc w:val="start"/>
        <w:tblLayout w:type="fixed"/>
      </w:tblPr>
      <w:tblGrid>
        <w:gridCol w:w="7920"/>
      </w:tblGrid>
      <w:tr>
        <w:tc>
          <w:tcPr/>
          <w:bookmarkStart w:id="84" w:name="tbl-2"/>
          <w:p>
            <w:pPr>
              <w:jc w:val="center"/>
            </w:pPr>
            <w:pPr>
              <w:jc w:val="start"/>
              <w:spacing w:before="200"/>
              <w:pStyle w:val="ImageCaption"/>
            </w:pPr>
            <w:r>
              <w:t xml:space="preserve">Table 3: Summary of spheroid shaping intensity and shape features.</w:t>
            </w:r>
          </w:p>
          <w:tbl>
            <w:tblPr>
              <w:tblStyle w:val="Table"/>
              <w:tblW w:type="pct" w:w="5000"/>
              <w:tblLook w:firstRow="1" w:lastRow="0" w:firstColumn="0" w:lastColumn="0" w:noHBand="0" w:noVBand="0" w:val="0020"/>
              <w:jc w:val="start"/>
              <w:tblLayout w:type="fixed"/>
            </w:tblPr>
            <w:tblGrid>
              <w:gridCol w:w="936"/>
              <w:gridCol w:w="1021"/>
              <w:gridCol w:w="1192"/>
              <w:gridCol w:w="510"/>
              <w:gridCol w:w="1362"/>
              <w:gridCol w:w="851"/>
              <w:gridCol w:w="936"/>
              <w:gridCol w:w="1107"/>
            </w:tblGrid>
            <w:tr>
              <w:trPr>
                <w:tblHeader w:val="true"/>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Edge angle mean</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SPHARM power</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84"/>
          <w:p/>
        </w:tc>
      </w:tr>
    </w:tbl>
    <w:tbl>
      <w:tblPr>
        <w:tblStyle w:val="Table"/>
        <w:tblW w:type="pct" w:w="5000"/>
        <w:tblLook w:firstRow="0" w:lastRow="0" w:firstColumn="0" w:lastColumn="0" w:noHBand="0" w:noVBand="0" w:val="0000"/>
        <w:jc w:val="start"/>
        <w:tblLayout w:type="fixed"/>
      </w:tblPr>
      <w:tblGrid>
        <w:gridCol w:w="7920"/>
      </w:tblGrid>
      <w:tr>
        <w:tc>
          <w:tcPr/>
          <w:bookmarkStart w:id="88" w:name="fig-spearman-correlation-matrix"/>
          <w:p>
            <w:pPr>
              <w:pStyle w:val="Compact"/>
              <w:jc w:val="center"/>
            </w:pPr>
            <w:r>
              <w:drawing>
                <wp:inline>
                  <wp:extent cx="5943600" cy="4754880"/>
                  <wp:effectExtent b="0" l="0" r="0" t="0"/>
                  <wp:docPr descr="" title="" id="86" name="Picture"/>
                  <a:graphic>
                    <a:graphicData uri="http://schemas.openxmlformats.org/drawingml/2006/picture">
                      <pic:pic>
                        <pic:nvPicPr>
                          <pic:cNvPr descr="paper_files/figure-docx/fig-spearman-correlation-matrix-1.png" id="87" name="Picture"/>
                          <pic:cNvPicPr>
                            <a:picLocks noChangeArrowheads="1" noChangeAspect="1"/>
                          </pic:cNvPicPr>
                        </pic:nvPicPr>
                        <pic:blipFill>
                          <a:blip r:embed="rId8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Spearman correlation matrix of shape variables. Red star indicates p &lt; 0.05</w:t>
            </w:r>
          </w:p>
          <w:bookmarkEnd w:id="88"/>
        </w:tc>
      </w:tr>
    </w:tbl>
    <w:p>
      <w:pPr>
        <w:pStyle w:val="BodyText"/>
      </w:pPr>
      <w:hyperlink w:anchor="fig-spearman-correlation-matrix">
        <w:r>
          <w:rPr>
            <w:rStyle w:val="Hyperlink"/>
          </w:rPr>
          <w:t xml:space="preserve">Figure 12</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1.87</m:t>
        </m:r>
        <m:r>
          <m:rPr>
            <m:sty m:val="p"/>
          </m:rPr>
          <m:t>×</m:t>
        </m:r>
        <m:sSup>
          <m:e>
            <m:r>
              <m:t>10</m:t>
            </m:r>
          </m:e>
          <m:sup>
            <m:r>
              <m:rPr>
                <m:sty m:val="p"/>
              </m:rPr>
              <m:t>−</m:t>
            </m:r>
            <m:r>
              <m:t>2</m:t>
            </m:r>
          </m:sup>
        </m:sSup>
      </m:oMath>
      <w:r>
        <w:t xml:space="preserve">). Removal ratio and SDI exhibit a stronger and more highly significant correlation (ρ = 0.89, p =</w:t>
      </w:r>
      <w:r>
        <w:t xml:space="preserve"> </w:t>
      </w:r>
      <m:oMath>
        <m:r>
          <m:t>4.57</m:t>
        </m:r>
        <m:r>
          <m:rPr>
            <m:sty m:val="p"/>
          </m:rPr>
          <m:t>×</m:t>
        </m:r>
        <m:sSup>
          <m:e>
            <m:r>
              <m:t>10</m:t>
            </m:r>
          </m:e>
          <m:sup>
            <m:r>
              <m:rPr>
                <m:sty m:val="p"/>
              </m:rPr>
              <m:t>−</m:t>
            </m:r>
            <m:r>
              <m:t>5</m:t>
            </m:r>
          </m:sup>
        </m:sSup>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of spheroids, several significant correlations were observed. Mean edge angle was positively correlated with sphericity (ρ = 0.68, p =</w:t>
      </w:r>
      <w:r>
        <w:t xml:space="preserve"> </w:t>
      </w:r>
      <m:oMath>
        <m:r>
          <m:t>1.12</m:t>
        </m:r>
        <m:r>
          <m:rPr>
            <m:sty m:val="p"/>
          </m:rPr>
          <m:t>×</m:t>
        </m:r>
        <m:sSup>
          <m:e>
            <m:r>
              <m:t>10</m:t>
            </m:r>
          </m:e>
          <m:sup>
            <m:r>
              <m:rPr>
                <m:sty m:val="p"/>
              </m:rPr>
              <m:t>−</m:t>
            </m:r>
            <m:r>
              <m:t>2</m:t>
            </m:r>
          </m:sup>
        </m:sSup>
      </m:oMath>
      <w:r>
        <w:t xml:space="preserve">) and negatively correlated with SPHARM power (ρ = -0.59, p =</w:t>
      </w:r>
      <w:r>
        <w:t xml:space="preserve"> </w:t>
      </w:r>
      <m:oMath>
        <m:r>
          <m:t>3.46</m:t>
        </m:r>
        <m:r>
          <m:rPr>
            <m:sty m:val="p"/>
          </m:rPr>
          <m:t>×</m:t>
        </m:r>
        <m:sSup>
          <m:e>
            <m:r>
              <m:t>10</m:t>
            </m:r>
          </m:e>
          <m:sup>
            <m:r>
              <m:rPr>
                <m:sty m:val="p"/>
              </m:rPr>
              <m:t>−</m:t>
            </m:r>
            <m:r>
              <m:t>2</m:t>
            </m:r>
          </m:sup>
        </m:sSup>
      </m:oMath>
      <w:r>
        <w:t xml:space="preserve">), indicating that greater edge angles are associated with more spherical and regular forms. As noted in previous studies, mean edge angle is a key variable in capturing the morphology of spheroids [citation]. This correlation between edge angle and sphericity may help explain why spheroids were often interpreted as exhausted cores in earlier research [citation]. Indeed, spheroids must be significantly reduced, as achieving a near-perfect spherical shape typically results in increased edge angles, making further flake removal difficult. However, the reverse is not necessarily true—not all exhausted cores evolve into spheroids.</w:t>
      </w:r>
    </w:p>
    <w:p>
      <w:pPr>
        <w:pStyle w:val="BodyText"/>
      </w:pPr>
      <w:r>
        <w:t xml:space="preserve">Curvature was only significantly correlated with sphericity (ρ = -0.59, p =</w:t>
      </w:r>
      <w:r>
        <w:t xml:space="preserve"> </w:t>
      </w:r>
      <m:oMath>
        <m:r>
          <m:t>3.46</m:t>
        </m:r>
        <m:r>
          <m:rPr>
            <m:sty m:val="p"/>
          </m:rPr>
          <m:t>×</m:t>
        </m:r>
        <m:sSup>
          <m:e>
            <m:r>
              <m:t>10</m:t>
            </m:r>
          </m:e>
          <m:sup>
            <m:r>
              <m:rPr>
                <m:sty m:val="p"/>
              </m:rPr>
              <m:t>−</m:t>
            </m:r>
            <m:r>
              <m:t>2</m:t>
            </m:r>
          </m:sup>
        </m:sSup>
      </m:oMath>
      <w:r>
        <w:t xml:space="preserve">), suggesting that smoother surfaces tend to approximate spheres more closely. Its lack of correlation with other variables may reflect its focus on local surface texture, while edge angle and SPHARM power capture broader aspects of shape regularity and symmetry. The weak correlation between sphericity and SPHARM power may result from the small sample size or their different sensitivities: sphericity, based on area and volume, tolerates surface variation, while SPHARM power responds more to asymmetry and surface irregularity. Thus, even in similarly spherical specimens, surface differences can produce substantial variation in SPHARM power. The analysis of spheroid shape variables indicates that mean edge angle, curvature, sphericity, and SPHARM power each capture distinct aspects of spheroid morphology, which explains the varying strengths of correlation observed among them.</w:t>
      </w:r>
    </w:p>
    <w:bookmarkEnd w:id="89"/>
    <w:bookmarkEnd w:id="90"/>
    <w:bookmarkStart w:id="92" w:name="discussion"/>
    <w:p>
      <w:pPr>
        <w:pStyle w:val="Heading1"/>
      </w:pPr>
      <w:r>
        <w:t xml:space="preserve">Discussion</w:t>
      </w:r>
    </w:p>
    <w:bookmarkStart w:id="91"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Figure 11</w:t>
        </w:r>
      </w:hyperlink>
      <w:r>
        <w:t xml:space="preserve">): a potential rough-out phase, volume exploitation aimed at forming a cubic shape, surface exploitation to approximate a spheroidal geometry, edge refinement, and potentially the repetition of earlier phases. The existence of a repetitive phase is supported by the observation that while the original cobble blanks from Qianshangying display considerable size variation, the finished spheroids, although two of them are relatively large or small, mostly cluster around a diameter of 6–9 cm (@</w:t>
      </w:r>
      <w:hyperlink w:anchor="fig-basic-characteristics">
        <w:r>
          <w:rPr>
            <w:rStyle w:val="Hyperlink"/>
          </w:rPr>
          <w:t xml:space="preserve">Figure 3</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it can be inferred that the Qianshangying hominins deliberately employed a standardized production approach to create spheroids with consistent and formalized shapes. The technological strategy reflected in the Qianshangying facetted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or débitage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spheroids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surface regularity in the final product.</w:t>
      </w:r>
      <w:r>
        <w:t xml:space="preserve"> </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quartz-based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r>
        <w:t xml:space="preserve"> </w:t>
      </w:r>
    </w:p>
    <w:p>
      <w:pPr>
        <w:pStyle w:val="BodyText"/>
      </w:pPr>
      <w:r>
        <w:t xml:space="preserve">Another issue we aim to address is the relationship between polyhedrons, spheroids, and bolas. While no bolas were identified at Qianshangying, our quantitative analyses clearly differentiate polyhedrons from 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However, it remains unclear whether this typological transformation was intentional or unplanned. In addition, the spheroids at Qianshangying appear to have undergone another form of typological transformation—from hammerstones to spheroids. One specimen initially served as percussive tools but were later subjected to flake removal, suggesting a shift in function from battering to shaping.</w:t>
      </w:r>
    </w:p>
    <w:bookmarkEnd w:id="91"/>
    <w:bookmarkEnd w:id="92"/>
    <w:bookmarkStart w:id="93" w:name="conclusion"/>
    <w:p>
      <w:pPr>
        <w:pStyle w:val="Heading1"/>
      </w:pPr>
      <w:r>
        <w:t xml:space="preserve">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methodological framework here represented by spherical harmonics to quantitatively assess morphological variation among flaked pieces, allowing for the distinction between cores and spheroids and evaluating the degree of morphological standardization in spheroids. This approach has proven effective and reliable. Past approaches to analyzing the morphology of flaked pieces have been limited, with geometric morphometrics measures being virtually the only method used for a long time</w:t>
      </w:r>
      <w:r>
        <w:t xml:space="preserve"> </w:t>
      </w:r>
      <w:r>
        <w:t xml:space="preserve">(</w:t>
      </w:r>
      <w:r>
        <w:rPr>
          <w:bCs/>
          <w:b/>
        </w:rPr>
        <w:t xml:space="preserve">hallinan2025?</w:t>
      </w:r>
      <w:r>
        <w:t xml:space="preserve">;</w:t>
      </w:r>
      <w:r>
        <w:t xml:space="preserve"> </w:t>
      </w:r>
      <w:r>
        <w:rPr>
          <w:bCs/>
          <w:b/>
        </w:rPr>
        <w:t xml:space="preserve">cao2025?</w:t>
      </w:r>
      <w:r>
        <w:t xml:space="preserve">;</w:t>
      </w:r>
      <w:r>
        <w:t xml:space="preserve"> </w:t>
      </w:r>
      <w:r>
        <w:rPr>
          <w:bCs/>
          <w:b/>
        </w:rPr>
        <w:t xml:space="preserve">lycett2013?</w:t>
      </w:r>
      <w:r>
        <w:t xml:space="preserve">)</w:t>
      </w:r>
      <w:r>
        <w:t xml:space="preserve">. However, this method has significant constraints, including the requirement for homologous landmarks, which limits its applicability to artifacts like cores in shape variety and spheroids. Spherical harmonics offer a viable alternative, showing strong potential for precision and applicability. We can reasonably expect broader applications of this method across a range of archaeological artifacts in the future.</w:t>
      </w:r>
    </w:p>
    <w:p>
      <w:pPr>
        <w:pStyle w:val="BodyText"/>
      </w:pPr>
      <w:r>
        <w:t xml:space="preserve">This study provides one of the earliest systematic analyses focused on spheroids from East Asia. 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core-and-flake industries.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combined with low-cost technologies, more refined studies increasingly reveal their diversity and potential as markers of homonin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p>
      <w:r>
        <w:br w:type="page"/>
      </w:r>
    </w:p>
    <w:bookmarkEnd w:id="93"/>
    <w:bookmarkStart w:id="199" w:name="references"/>
    <w:p>
      <w:pPr>
        <w:pStyle w:val="Heading1"/>
      </w:pPr>
      <w:r>
        <w:t xml:space="preserve">References</w:t>
      </w:r>
    </w:p>
    <w:bookmarkStart w:id="197" w:name="refs"/>
    <w:bookmarkStart w:id="94" w:name="ref-Van2023"/>
    <w:p>
      <w:pPr>
        <w:pStyle w:val="Bibliography"/>
      </w:pPr>
      <w:r>
        <w:t xml:space="preserve">Bavel, C. van, Thiels, W., Jelier, R., 2023. Cell shape characterization, alignment, and comparison using FlowShape. Bioinformatics 39, btad383.</w:t>
      </w:r>
    </w:p>
    <w:bookmarkEnd w:id="94"/>
    <w:bookmarkStart w:id="96"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5">
        <w:r>
          <w:rPr>
            <w:rStyle w:val="Hyperlink"/>
          </w:rPr>
          <w:t xml:space="preserve">https://doi.org/10.1073/pnas.1221285110</w:t>
        </w:r>
      </w:hyperlink>
    </w:p>
    <w:bookmarkEnd w:id="96"/>
    <w:bookmarkStart w:id="98"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97">
        <w:r>
          <w:rPr>
            <w:rStyle w:val="Hyperlink"/>
          </w:rPr>
          <w:t xml:space="preserve">https://doi.org/10.1073/pnas.1820177116</w:t>
        </w:r>
      </w:hyperlink>
    </w:p>
    <w:bookmarkEnd w:id="98"/>
    <w:bookmarkStart w:id="100"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99">
        <w:r>
          <w:rPr>
            <w:rStyle w:val="Hyperlink"/>
          </w:rPr>
          <w:t xml:space="preserve">https://doi.org/10.1007/s41982-024-00195-x</w:t>
        </w:r>
      </w:hyperlink>
    </w:p>
    <w:bookmarkEnd w:id="100"/>
    <w:bookmarkStart w:id="101"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1"/>
    <w:bookmarkStart w:id="102"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2"/>
    <w:bookmarkStart w:id="103" w:name="ref-Dai1973Lantian"/>
    <w:p>
      <w:pPr>
        <w:pStyle w:val="Bibliography"/>
      </w:pPr>
      <w:r>
        <w:t xml:space="preserve">Dai, E., Xu, C., 1973. New paleolithic materials and the lantian man culture. Kaogu Xuebao (Acta Archaeologica Sinica) 14.</w:t>
      </w:r>
    </w:p>
    <w:bookmarkEnd w:id="103"/>
    <w:bookmarkStart w:id="105" w:name="ref-delatorre2004"/>
    <w:p>
      <w:pPr>
        <w:pStyle w:val="Bibliography"/>
      </w:pPr>
      <w:r>
        <w:t xml:space="preserve">De La Torre, I., 2004. Omo Revisited: Evaluating the Technological Skills of Pliocene Hominids. Current Anthropology 45, 439–465.</w:t>
      </w:r>
      <w:r>
        <w:t xml:space="preserve"> </w:t>
      </w:r>
      <w:hyperlink r:id="rId104">
        <w:r>
          <w:rPr>
            <w:rStyle w:val="Hyperlink"/>
          </w:rPr>
          <w:t xml:space="preserve">https://doi.org/10.1086/422079</w:t>
        </w:r>
      </w:hyperlink>
    </w:p>
    <w:bookmarkEnd w:id="105"/>
    <w:bookmarkStart w:id="107" w:name="ref-deweyer2017"/>
    <w:p>
      <w:pPr>
        <w:pStyle w:val="Bibliography"/>
      </w:pPr>
      <w:r>
        <w:t xml:space="preserve">De Weyer, L., 2017. An Early Stone Age in Western Africa? Spheroids and polyhedrons at Ounjougou, Mali. Journal of Lithic Studies 4.</w:t>
      </w:r>
      <w:r>
        <w:t xml:space="preserve"> </w:t>
      </w:r>
      <w:hyperlink r:id="rId106">
        <w:r>
          <w:rPr>
            <w:rStyle w:val="Hyperlink"/>
          </w:rPr>
          <w:t xml:space="preserve">https://doi.org/10.2218/jls.v4i1.1682</w:t>
        </w:r>
      </w:hyperlink>
    </w:p>
    <w:bookmarkEnd w:id="107"/>
    <w:bookmarkStart w:id="108" w:name="ref-duke2021"/>
    <w:p>
      <w:pPr>
        <w:pStyle w:val="Bibliography"/>
      </w:pPr>
      <w:r>
        <w:t xml:space="preserve">Duke, H., Feibel, C., Harmand, S., 2021. Before the acheulean: The emergence of bifacial shaping at kokiselei 6 (1.8 ma), west turkana, kenya. Journal of Human Evolution 159, 103061.</w:t>
      </w:r>
    </w:p>
    <w:bookmarkEnd w:id="108"/>
    <w:bookmarkStart w:id="110"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09">
        <w:r>
          <w:rPr>
            <w:rStyle w:val="Hyperlink"/>
          </w:rPr>
          <w:t xml:space="preserve">https://doi.org/10.2307/2694247</w:t>
        </w:r>
      </w:hyperlink>
    </w:p>
    <w:bookmarkEnd w:id="110"/>
    <w:bookmarkStart w:id="111" w:name="ref-Fang2002"/>
    <w:p>
      <w:pPr>
        <w:pStyle w:val="Bibliography"/>
      </w:pPr>
      <w:r>
        <w:t xml:space="preserve">Fang, Y., Wang, J., Liang, R., Wang, J., Zhai, Z., Yang, C., 2002. Paleolithic artifacts discovered at fangniushan, jurong county, jiangsu province. Acta Anthropologica Sinica 21, 41–49.</w:t>
      </w:r>
    </w:p>
    <w:bookmarkEnd w:id="111"/>
    <w:bookmarkStart w:id="112" w:name="ref-gallotti2018emergence"/>
    <w:p>
      <w:pPr>
        <w:pStyle w:val="Bibliography"/>
      </w:pPr>
      <w:r>
        <w:t xml:space="preserve">Gallotti, R., Mussi, M., others, 2018. The emergence of the acheulean in east africa and beyond. Speringer, Cham.</w:t>
      </w:r>
    </w:p>
    <w:bookmarkEnd w:id="112"/>
    <w:bookmarkStart w:id="114" w:name="ref-Grieb2022"/>
    <w:p>
      <w:pPr>
        <w:pStyle w:val="Bibliography"/>
      </w:pPr>
      <w:r>
        <w:t xml:space="preserve">Grieb, J., Barbero-García, I., Lerma, J.L., 2022. Spherical harmonics to quantify cranial asymmetry in deformational plagiocephaly. Scientific Reports 12, 167.</w:t>
      </w:r>
      <w:r>
        <w:t xml:space="preserve"> </w:t>
      </w:r>
      <w:hyperlink r:id="rId113">
        <w:r>
          <w:rPr>
            <w:rStyle w:val="Hyperlink"/>
          </w:rPr>
          <w:t xml:space="preserve">https://doi.org/10.1038/s41598-021-04181-z</w:t>
        </w:r>
      </w:hyperlink>
    </w:p>
    <w:bookmarkEnd w:id="114"/>
    <w:bookmarkStart w:id="115" w:name="ref-Harper2022"/>
    <w:p>
      <w:pPr>
        <w:pStyle w:val="Bibliography"/>
      </w:pPr>
      <w:r>
        <w:t xml:space="preserve">Harper, C.M., Goldstein, D.M., Sylvester, A.D., 2022. Comparing and combining sliding semilandmarks and weighted spherical harmonics for shape analysis. Journal of anatomy 240, 678–687.</w:t>
      </w:r>
    </w:p>
    <w:bookmarkEnd w:id="115"/>
    <w:bookmarkStart w:id="117"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16">
        <w:r>
          <w:rPr>
            <w:rStyle w:val="Hyperlink"/>
          </w:rPr>
          <w:t xml:space="preserve">https://doi.org/10.1242/dev.202251</w:t>
        </w:r>
      </w:hyperlink>
    </w:p>
    <w:bookmarkEnd w:id="117"/>
    <w:bookmarkStart w:id="118" w:name="ref-Huang1964Sanmenxia"/>
    <w:p>
      <w:pPr>
        <w:pStyle w:val="Bibliography"/>
      </w:pPr>
      <w:r>
        <w:t xml:space="preserve">Huang, W., 1964. Paleolithic artifacts from the sanmenxia region in western henan. Vertebrata PalAsiatica 66–85.</w:t>
      </w:r>
    </w:p>
    <w:bookmarkEnd w:id="118"/>
    <w:bookmarkStart w:id="119" w:name="ref-inizan1999"/>
    <w:p>
      <w:pPr>
        <w:pStyle w:val="Bibliography"/>
      </w:pPr>
      <w:r>
        <w:t xml:space="preserve">Inizan, M.-L., Reduron-Ballinger, M., Roche, H., 1999. Technology and terminology of knapped stone, 5th ed. Cercle de Recherches et d’Études Préhistoriques, Nanterre.</w:t>
      </w:r>
    </w:p>
    <w:bookmarkEnd w:id="119"/>
    <w:bookmarkStart w:id="120"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20"/>
    <w:bookmarkStart w:id="121" w:name="ref-isaac1986foundation"/>
    <w:p>
      <w:pPr>
        <w:pStyle w:val="Bibliography"/>
      </w:pPr>
      <w:r>
        <w:t xml:space="preserve">Isaac, Glynn L., 1986. Foundation stones: Early artefacts as indicators of activities and abilities. Stone Age prehistory: studies in memory of Charles McBurney 221–241.</w:t>
      </w:r>
    </w:p>
    <w:bookmarkEnd w:id="121"/>
    <w:bookmarkStart w:id="122"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22"/>
    <w:bookmarkStart w:id="123" w:name="ref-Jia1962Kehe"/>
    <w:p>
      <w:pPr>
        <w:pStyle w:val="Bibliography"/>
      </w:pPr>
      <w:r>
        <w:t xml:space="preserve">Jia, L., 1962. Kehe: An early paleolithic cultural site in southwestern shanxi. Science Press.</w:t>
      </w:r>
    </w:p>
    <w:bookmarkEnd w:id="123"/>
    <w:bookmarkStart w:id="124" w:name="ref-Jia1959Xigou"/>
    <w:p>
      <w:pPr>
        <w:pStyle w:val="Bibliography"/>
      </w:pPr>
      <w:r>
        <w:t xml:space="preserve">Jia, L., 1959. A paleolithic cultural site at xigou, licun, quwo county, shanxi province. Kaogu (Archaeology) 6.</w:t>
      </w:r>
    </w:p>
    <w:bookmarkEnd w:id="124"/>
    <w:bookmarkStart w:id="125" w:name="ref-Jia1976Xujayao"/>
    <w:p>
      <w:pPr>
        <w:pStyle w:val="Bibliography"/>
      </w:pPr>
      <w:r>
        <w:t xml:space="preserve">Jia, L., Wei, Q., 1976. The paleolithic cultural site of xujayao, yanggao. Kaogu Xuebao (Acta Archaeologica Sinica) 24.</w:t>
      </w:r>
    </w:p>
    <w:bookmarkEnd w:id="125"/>
    <w:bookmarkStart w:id="126" w:name="ref-Jia1979Xujayao"/>
    <w:p>
      <w:pPr>
        <w:pStyle w:val="Bibliography"/>
      </w:pPr>
      <w:r>
        <w:t xml:space="preserve">Jia, L., Wei, Q., Li, C., 1979. Excavation report of the xujayao paleolithic cultural site in 1976. Vertebrata PalAsiatica 17–33, 87–90.</w:t>
      </w:r>
    </w:p>
    <w:bookmarkEnd w:id="126"/>
    <w:bookmarkStart w:id="127" w:name="ref-jones1994"/>
    <w:p>
      <w:pPr>
        <w:pStyle w:val="Bibliography"/>
      </w:pPr>
      <w:r>
        <w:t xml:space="preserve">Jones, P.R., others, 1994. Results of experimental work in relation to the stone industries of olduvai gorge. Olduvai gorge 5, 1968–1971.</w:t>
      </w:r>
    </w:p>
    <w:bookmarkEnd w:id="127"/>
    <w:bookmarkStart w:id="128"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28"/>
    <w:bookmarkStart w:id="129" w:name="ref-leakey1979"/>
    <w:p>
      <w:pPr>
        <w:pStyle w:val="Bibliography"/>
      </w:pPr>
      <w:r>
        <w:t xml:space="preserve">Leakey, M.D., 1979. Olduvai gorge: My search for early man. William Collins, London.</w:t>
      </w:r>
    </w:p>
    <w:bookmarkEnd w:id="129"/>
    <w:bookmarkStart w:id="130" w:name="ref-leakey1971"/>
    <w:p>
      <w:pPr>
        <w:pStyle w:val="Bibliography"/>
      </w:pPr>
      <w:r>
        <w:t xml:space="preserve">Leakey, M.D., 1971. Olduvai gorge, vol. 3: Excavations in beds i and II, 1960–1963. Cambridge University Press, Cambridge.</w:t>
      </w:r>
    </w:p>
    <w:bookmarkEnd w:id="130"/>
    <w:bookmarkStart w:id="131" w:name="ref-Li1991"/>
    <w:p>
      <w:pPr>
        <w:pStyle w:val="Bibliography"/>
      </w:pPr>
      <w:r>
        <w:t xml:space="preserve">Li, C., Xu, C., 1991. Paleolithic artifacts discovered at the liao river in anyi, jiangxi, and their significance. Acta Anthropologica Sinica 10, 8.</w:t>
      </w:r>
    </w:p>
    <w:bookmarkEnd w:id="131"/>
    <w:bookmarkStart w:id="132" w:name="ref-li2000"/>
    <w:p>
      <w:pPr>
        <w:pStyle w:val="Bibliography"/>
      </w:pPr>
      <w:r>
        <w:t xml:space="preserve">Li, R., Qiao, J., Qiu, W., Zhai, Q., Li, Y., 2000. Soluble salt deposit in the nihewan beds and its environmental significance. Science in China Series D: Earth Sciences 43, 464–479.</w:t>
      </w:r>
    </w:p>
    <w:bookmarkEnd w:id="132"/>
    <w:bookmarkStart w:id="133" w:name="ref-lin2024"/>
    <w:p>
      <w:pPr>
        <w:pStyle w:val="Bibliography"/>
      </w:pPr>
      <w:r>
        <w:t xml:space="preserve">Lin, S.C., 2024. A new method for quantifying flake scar organisation on cores using orientation statistics. Journal of Archaeological Science.</w:t>
      </w:r>
    </w:p>
    <w:bookmarkEnd w:id="133"/>
    <w:bookmarkStart w:id="134" w:name="ref-Link2024"/>
    <w:p>
      <w:pPr>
        <w:pStyle w:val="Bibliography"/>
      </w:pPr>
      <w:r>
        <w:t xml:space="preserve">Link, R., Jaggy, M., Bastmeyer, M., Schwarz, U.S., 2024. Modelling cell shape in 3D structured environments: A quantitative comparison with experiments. PLOS Computational Biology 20, e1011412.</w:t>
      </w:r>
    </w:p>
    <w:bookmarkEnd w:id="134"/>
    <w:bookmarkStart w:id="135" w:name="ref-Liu1984Jingchuan"/>
    <w:p>
      <w:pPr>
        <w:pStyle w:val="Bibliography"/>
      </w:pPr>
      <w:r>
        <w:t xml:space="preserve">Liu, Y., Huang, W., Lin, Y., 1984. Human fossils and paleolithic artifacts discovered in jingchuan, gansu province. Acta Anthropologica Sinica 11.</w:t>
      </w:r>
    </w:p>
    <w:bookmarkEnd w:id="135"/>
    <w:bookmarkStart w:id="136" w:name="ref-LixianMuseum1992"/>
    <w:p>
      <w:pPr>
        <w:pStyle w:val="Bibliography"/>
      </w:pPr>
      <w:r>
        <w:t xml:space="preserve">Lixian County Museum, 1992. A brief report on the paleolithic localities at zhangjiatan and xiangong in lixian, hunan province. Huaxia Archaeology 8.</w:t>
      </w:r>
    </w:p>
    <w:bookmarkEnd w:id="136"/>
    <w:bookmarkStart w:id="137" w:name="ref-Lu2021Spheroids"/>
    <w:p>
      <w:pPr>
        <w:pStyle w:val="Bibliography"/>
      </w:pPr>
      <w:r>
        <w:t xml:space="preserve">Lu, L., Dong, B., Chen, S., 2021. An experimental study on stone spheroids from the paleolithic period in china. Acta Anthropologica Sinica 40, 13.</w:t>
      </w:r>
    </w:p>
    <w:bookmarkEnd w:id="137"/>
    <w:bookmarkStart w:id="138"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38"/>
    <w:bookmarkStart w:id="139" w:name="ref-Ma2011Xujayao"/>
    <w:p>
      <w:pPr>
        <w:pStyle w:val="Bibliography"/>
      </w:pPr>
      <w:r>
        <w:t xml:space="preserve">Ma, N., Pei, S., Gao, X., 2011. Study of lithic artifacts excavated from locality 74093 at the xujayao site in 1977. Acta Anthropologica Sinica 30, 14.</w:t>
      </w:r>
    </w:p>
    <w:bookmarkEnd w:id="139"/>
    <w:bookmarkStart w:id="140"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40"/>
    <w:bookmarkStart w:id="142"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41">
        <w:r>
          <w:rPr>
            <w:rStyle w:val="Hyperlink"/>
          </w:rPr>
          <w:t xml:space="preserve">https://doi.org/10.1016/j.jaa.2004.12.001</w:t>
        </w:r>
      </w:hyperlink>
    </w:p>
    <w:bookmarkEnd w:id="142"/>
    <w:bookmarkStart w:id="143"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43"/>
    <w:bookmarkStart w:id="145" w:name="ref-muller2023"/>
    <w:p>
      <w:pPr>
        <w:pStyle w:val="Bibliography"/>
      </w:pPr>
      <w:r>
        <w:t xml:space="preserve">Muller, A., Clarkson, C., 2023. Filling in the blanks: Standardization of lithic flake production throughout the stone age. Lithic Technology 48, 222–236.</w:t>
      </w:r>
      <w:r>
        <w:t xml:space="preserve"> </w:t>
      </w:r>
      <w:hyperlink r:id="rId144">
        <w:r>
          <w:rPr>
            <w:rStyle w:val="Hyperlink"/>
          </w:rPr>
          <w:t xml:space="preserve">https://doi.org/10.1080/01977261.2022.2103290</w:t>
        </w:r>
      </w:hyperlink>
    </w:p>
    <w:bookmarkEnd w:id="145"/>
    <w:bookmarkStart w:id="147"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46">
        <w:r>
          <w:rPr>
            <w:rStyle w:val="Hyperlink"/>
          </w:rPr>
          <w:t xml:space="preserve">https://doi.org/10.1016/j.quaint.2025.109681</w:t>
        </w:r>
      </w:hyperlink>
    </w:p>
    <w:bookmarkEnd w:id="147"/>
    <w:bookmarkStart w:id="148"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48"/>
    <w:bookmarkStart w:id="149"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49"/>
    <w:bookmarkStart w:id="151"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50">
        <w:r>
          <w:rPr>
            <w:rStyle w:val="Hyperlink"/>
          </w:rPr>
          <w:t xml:space="preserve">https://doi.org/10.1016/j.palaeo.2019.05.014</w:t>
        </w:r>
      </w:hyperlink>
    </w:p>
    <w:bookmarkEnd w:id="151"/>
    <w:bookmarkStart w:id="152" w:name="ref-pei2002"/>
    <w:p>
      <w:pPr>
        <w:pStyle w:val="Bibliography"/>
      </w:pPr>
      <w:r>
        <w:t xml:space="preserve">Pei, S., Hou, Y., 2002. Preliminary study on raw materials exploitation at donggutuo site, nihewan basin, north china. Acta Anthropologica Sinica 21, 53–66.</w:t>
      </w:r>
    </w:p>
    <w:bookmarkEnd w:id="152"/>
    <w:bookmarkStart w:id="154"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53">
        <w:r>
          <w:rPr>
            <w:rStyle w:val="Hyperlink"/>
          </w:rPr>
          <w:t xml:space="preserve">https://doi.org/10.1371/journal.pone.0187251</w:t>
        </w:r>
      </w:hyperlink>
    </w:p>
    <w:bookmarkEnd w:id="154"/>
    <w:bookmarkStart w:id="156"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55">
        <w:r>
          <w:rPr>
            <w:rStyle w:val="Hyperlink"/>
          </w:rPr>
          <w:t xml:space="preserve">https://doi.org/10.1006/jasc.1996.0152</w:t>
        </w:r>
      </w:hyperlink>
    </w:p>
    <w:bookmarkEnd w:id="156"/>
    <w:bookmarkStart w:id="157"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57"/>
    <w:bookmarkStart w:id="158" w:name="ref-SXA2014Dingcun"/>
    <w:p>
      <w:pPr>
        <w:pStyle w:val="Bibliography"/>
      </w:pPr>
      <w:r>
        <w:t xml:space="preserve">Shanxi Provincial Institute of Archaeology, 2014. The dingcun paleolithic site complex: Excavation report of the dingcun sites (1976–1980). Cultural Relics Publishing House.</w:t>
      </w:r>
    </w:p>
    <w:bookmarkEnd w:id="158"/>
    <w:bookmarkStart w:id="160" w:name="ref-stout2015"/>
    <w:p>
      <w:pPr>
        <w:pStyle w:val="Bibliography"/>
      </w:pPr>
      <w:r>
        <w:t xml:space="preserve">Stout, D., Hecht, E., Khreisheh, N., Bradley, B., Chaminade, T., 2015. Cognitive Demands of Lower Paleolithic Toolmaking. PLOS ONE 10, e0121804.</w:t>
      </w:r>
      <w:r>
        <w:t xml:space="preserve"> </w:t>
      </w:r>
      <w:hyperlink r:id="rId159">
        <w:r>
          <w:rPr>
            <w:rStyle w:val="Hyperlink"/>
          </w:rPr>
          <w:t xml:space="preserve">https://doi.org/10.1371/journal.pone.0121804</w:t>
        </w:r>
      </w:hyperlink>
    </w:p>
    <w:bookmarkEnd w:id="160"/>
    <w:bookmarkStart w:id="161" w:name="ref-Tan1999"/>
    <w:p>
      <w:pPr>
        <w:pStyle w:val="Bibliography"/>
      </w:pPr>
      <w:r>
        <w:t xml:space="preserve">Tan, Y., 1999. A report on the paleolithic locality on the northern slope of huzhua mountain. Hunan Archaeological Journal 15.</w:t>
      </w:r>
    </w:p>
    <w:bookmarkEnd w:id="161"/>
    <w:bookmarkStart w:id="162" w:name="ref-Tao1984Dingcun"/>
    <w:p>
      <w:pPr>
        <w:pStyle w:val="Bibliography"/>
      </w:pPr>
      <w:r>
        <w:t xml:space="preserve">Tao, F., Liang, Z., Xie, X., Yin, Z., Ding, W., Hu, W., Ding, S., Yang, F., Yin, L., Xie, X., 1984. Excavation report of locality 80:01 at the dingcun paleolithic site. Prehistoric Research 57–68.</w:t>
      </w:r>
    </w:p>
    <w:bookmarkEnd w:id="162"/>
    <w:bookmarkStart w:id="163"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63"/>
    <w:bookmarkStart w:id="165"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64">
        <w:r>
          <w:rPr>
            <w:rStyle w:val="Hyperlink"/>
          </w:rPr>
          <w:t xml:space="preserve">https://doi.org/10.1371/journal.pone.0228290</w:t>
        </w:r>
      </w:hyperlink>
    </w:p>
    <w:bookmarkEnd w:id="165"/>
    <w:bookmarkStart w:id="166" w:name="ref-de2018oldowan"/>
    <w:p>
      <w:pPr>
        <w:pStyle w:val="Bibliography"/>
      </w:pPr>
      <w:r>
        <w:t xml:space="preserve">Torre, I. de la, Mora, R., 2018. Oldowan technological behaviour at HWK EE (olduvai gorge, tanzania). Journal of Human Evolution 120, 236–273.</w:t>
      </w:r>
    </w:p>
    <w:bookmarkEnd w:id="166"/>
    <w:bookmarkStart w:id="168"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67">
        <w:r>
          <w:rPr>
            <w:rStyle w:val="Hyperlink"/>
          </w:rPr>
          <w:t xml:space="preserve">https://doi.org/10.1007/s10816-017-9339-x</w:t>
        </w:r>
      </w:hyperlink>
    </w:p>
    <w:bookmarkEnd w:id="168"/>
    <w:bookmarkStart w:id="170"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69">
        <w:r>
          <w:rPr>
            <w:rStyle w:val="Hyperlink"/>
          </w:rPr>
          <w:t xml:space="preserve">https://doi.org/10.1086/624298</w:t>
        </w:r>
      </w:hyperlink>
    </w:p>
    <w:bookmarkEnd w:id="170"/>
    <w:bookmarkStart w:id="171" w:name="ref-Wang2016Houjiayao"/>
    <w:p>
      <w:pPr>
        <w:pStyle w:val="Bibliography"/>
      </w:pPr>
      <w:r>
        <w:t xml:space="preserve">Wang, F., 2016. Comprehensive study of the houjiayao site (Ph.D. dissertation). Hebei Normal University.</w:t>
      </w:r>
    </w:p>
    <w:bookmarkEnd w:id="171"/>
    <w:bookmarkStart w:id="172" w:name="ref-Wang2000Yaoshi"/>
    <w:p>
      <w:pPr>
        <w:pStyle w:val="Bibliography"/>
      </w:pPr>
      <w:r>
        <w:t xml:space="preserve">Wang, S., Hu, S., 2000. Paleolithic artifacts from the yaoshi basin, upper danjiang river. Kaogu yu Wenwu (Archaeology and Cultural Relics) 7.</w:t>
      </w:r>
    </w:p>
    <w:bookmarkEnd w:id="172"/>
    <w:bookmarkStart w:id="173"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73"/>
    <w:bookmarkStart w:id="174"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74"/>
    <w:bookmarkStart w:id="175" w:name="ref-Wang2010Jinstai"/>
    <w:p>
      <w:pPr>
        <w:pStyle w:val="Bibliography"/>
      </w:pPr>
      <w:r>
        <w:t xml:space="preserve">Wang, X., Wei, J., Chen, Q., Tang, Z., Wang, C., 2010. Excavation report of the jinstai cave site, inner mongolia. Acta Anthropologica Sinica 18.</w:t>
      </w:r>
    </w:p>
    <w:bookmarkEnd w:id="175"/>
    <w:bookmarkStart w:id="176" w:name="ref-Wei1984"/>
    <w:p>
      <w:pPr>
        <w:pStyle w:val="Bibliography"/>
      </w:pPr>
      <w:r>
        <w:t xml:space="preserve">Wei, Q., Huang, W., Zhang, X., 1984. Newly discovered paleolithic artifacts at mujiaqiao, lijiang. Acta Anthropologica Sinica 11.</w:t>
      </w:r>
    </w:p>
    <w:bookmarkEnd w:id="176"/>
    <w:bookmarkStart w:id="178" w:name="ref-willoughby1985"/>
    <w:p>
      <w:pPr>
        <w:pStyle w:val="Bibliography"/>
      </w:pPr>
      <w:r>
        <w:t xml:space="preserve">Willoughby, P.R., 1985. Spheroids and battered stones in the African Early Stone Age. World Archaeology 17, 44–60.</w:t>
      </w:r>
      <w:r>
        <w:t xml:space="preserve"> </w:t>
      </w:r>
      <w:hyperlink r:id="rId177">
        <w:r>
          <w:rPr>
            <w:rStyle w:val="Hyperlink"/>
          </w:rPr>
          <w:t xml:space="preserve">https://doi.org/10.1080/00438243.1985.9979949</w:t>
        </w:r>
      </w:hyperlink>
    </w:p>
    <w:bookmarkEnd w:id="178"/>
    <w:bookmarkStart w:id="179" w:name="ref-Wu1989Dangcheng"/>
    <w:p>
      <w:pPr>
        <w:pStyle w:val="Bibliography"/>
      </w:pPr>
      <w:r>
        <w:t xml:space="preserve">Wu, Z., Sun, B., 1989. Preliminary study of the paleolithic cave site complex at dangcheng, heshun county, shanxi province. Acta Anthropologica Sinica 8, 12.</w:t>
      </w:r>
    </w:p>
    <w:bookmarkEnd w:id="179"/>
    <w:bookmarkStart w:id="180" w:name="ref-wynn1995"/>
    <w:p>
      <w:pPr>
        <w:pStyle w:val="Bibliography"/>
      </w:pPr>
      <w:r>
        <w:t xml:space="preserve">Wynn, T., 1995. Handaxe enigmas. World Archaeology 27, 10–24.</w:t>
      </w:r>
    </w:p>
    <w:bookmarkEnd w:id="180"/>
    <w:bookmarkStart w:id="181" w:name="ref-Xi1994"/>
    <w:p>
      <w:pPr>
        <w:pStyle w:val="Bibliography"/>
      </w:pPr>
      <w:r>
        <w:t xml:space="preserve">Xi, D., 1994. A report on the paleolithic survey in the lower reaches of the yuan river. Hunan Archaeological Journal 6.</w:t>
      </w:r>
    </w:p>
    <w:bookmarkEnd w:id="181"/>
    <w:bookmarkStart w:id="182"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182"/>
    <w:bookmarkStart w:id="183" w:name="ref-XiaokongshanTeam1988"/>
    <w:p>
      <w:pPr>
        <w:pStyle w:val="Bibliography"/>
      </w:pPr>
      <w:r>
        <w:t xml:space="preserve">Xiaokongshan Joint Excavation Team, 1988. Excavation report of the xiaokongshan paleolithic site in nanzhao, henan, in 1987. Huaxia Archaeology 15.</w:t>
      </w:r>
    </w:p>
    <w:bookmarkEnd w:id="183"/>
    <w:bookmarkStart w:id="184" w:name="ref-Xie1982Liujiacha"/>
    <w:p>
      <w:pPr>
        <w:pStyle w:val="Bibliography"/>
      </w:pPr>
      <w:r>
        <w:t xml:space="preserve">Xie, J., 1982. The paleolithic site at liujiacha, huan county, gansu province. Kaogu Xuebao (Acta Archaeologica Sinica) 16.</w:t>
      </w:r>
    </w:p>
    <w:bookmarkEnd w:id="184"/>
    <w:bookmarkStart w:id="186"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185">
        <w:r>
          <w:rPr>
            <w:rStyle w:val="Hyperlink"/>
          </w:rPr>
          <w:t xml:space="preserve">https://doi.org/10.1002/evan.21813</w:t>
        </w:r>
      </w:hyperlink>
    </w:p>
    <w:bookmarkEnd w:id="186"/>
    <w:bookmarkStart w:id="188"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187">
        <w:r>
          <w:rPr>
            <w:rStyle w:val="Hyperlink"/>
          </w:rPr>
          <w:t xml:space="preserve">https://doi.org/10.1371/journal.pone.0185101</w:t>
        </w:r>
      </w:hyperlink>
    </w:p>
    <w:bookmarkEnd w:id="188"/>
    <w:bookmarkStart w:id="189"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189"/>
    <w:bookmarkStart w:id="190" w:name="ref-Yi2012Spheroids"/>
    <w:p>
      <w:pPr>
        <w:pStyle w:val="Bibliography"/>
      </w:pPr>
      <w:r>
        <w:t xml:space="preserve">Yi, M., Gao, X., Pei, S., 2012. A preliminary analysis of the definition, classification, and function of stone spheroids. Acta Anthropologica Sinica 31, 9.</w:t>
      </w:r>
    </w:p>
    <w:bookmarkEnd w:id="190"/>
    <w:bookmarkStart w:id="191" w:name="ref-yuan2009"/>
    <w:p>
      <w:pPr>
        <w:pStyle w:val="Bibliography"/>
      </w:pPr>
      <w:r>
        <w:t xml:space="preserve">Yuan, B., Tong, H., Wen, R., Wang, Y., 2009. The formation mechanism of the nihewan paleo-lake and its relationship with living environment for early ancient human. Journal of Geomechanics 15, 77–87.</w:t>
      </w:r>
    </w:p>
    <w:bookmarkEnd w:id="191"/>
    <w:bookmarkStart w:id="192" w:name="ref-yuwei2023"/>
    <w:p>
      <w:pPr>
        <w:pStyle w:val="Bibliography"/>
      </w:pPr>
      <w:r>
        <w:t xml:space="preserve">Yuwei, D., Yue, Z., Zhi, Y., Shuwen, P., 2023. A taphonomic analysis of faunal remains from the jijiazhuang paleolithic site in the yuxian basin. Acta Anthropologica Sinica 42, 359.</w:t>
      </w:r>
    </w:p>
    <w:bookmarkEnd w:id="192"/>
    <w:bookmarkStart w:id="194"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193">
        <w:r>
          <w:rPr>
            <w:rStyle w:val="Hyperlink"/>
          </w:rPr>
          <w:t xml:space="preserve">https://doi.org/10.1038/35096551</w:t>
        </w:r>
      </w:hyperlink>
    </w:p>
    <w:bookmarkEnd w:id="194"/>
    <w:bookmarkStart w:id="196"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195">
        <w:r>
          <w:rPr>
            <w:rStyle w:val="Hyperlink"/>
          </w:rPr>
          <w:t xml:space="preserve">https://doi.org/10.1038/nature02829</w:t>
        </w:r>
      </w:hyperlink>
    </w:p>
    <w:bookmarkEnd w:id="196"/>
    <w:bookmarkEnd w:id="197"/>
    <w:p>
      <w:r>
        <w:br w:type="page"/>
      </w:r>
    </w:p>
    <w:bookmarkStart w:id="198" w:name="colophon"/>
    <w:p>
      <w:pPr>
        <w:pStyle w:val="Heading3"/>
      </w:pPr>
      <w:r>
        <w:t xml:space="preserve">Colophon</w:t>
      </w:r>
    </w:p>
    <w:p>
      <w:pPr>
        <w:pStyle w:val="FirstParagraph"/>
      </w:pPr>
      <w:r>
        <w:t xml:space="preserve">This report was generated on 2025-08-13 14:17:44.261293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2025-08-13</w:t>
      </w:r>
      <w:r>
        <w:br/>
      </w:r>
      <w:r>
        <w:rPr>
          <w:rStyle w:val="VerbatimChar"/>
        </w:rPr>
        <w:t xml:space="preserve"> pandoc   3.4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4.5.0)</w:t>
      </w:r>
      <w:r>
        <w:br/>
      </w:r>
      <w:r>
        <w:rPr>
          <w:rStyle w:val="VerbatimChar"/>
        </w:rPr>
        <w:t xml:space="preserve"> ash            1.0-15   2015-09-01 [1] CRAN (R 4.5.0)</w:t>
      </w:r>
      <w:r>
        <w:br/>
      </w:r>
      <w:r>
        <w:rPr>
          <w:rStyle w:val="VerbatimChar"/>
        </w:rPr>
        <w:t xml:space="preserve"> backports      1.5.0    2024-05-23 [1] CRAN (R 4.5.0)</w:t>
      </w:r>
      <w:r>
        <w:br/>
      </w:r>
      <w:r>
        <w:rPr>
          <w:rStyle w:val="VerbatimChar"/>
        </w:rPr>
        <w:t xml:space="preserve"> base64enc      0.1-3    2015-07-28 [1] CRAN (R 4.5.0)</w:t>
      </w:r>
      <w:r>
        <w:br/>
      </w:r>
      <w:r>
        <w:rPr>
          <w:rStyle w:val="VerbatimChar"/>
        </w:rPr>
        <w:t xml:space="preserve"> bayesm         3.1-6    2023-09-23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boot           1.3-31   2024-08-28 [1] CRAN (R 4.5.1)</w:t>
      </w:r>
      <w:r>
        <w:br/>
      </w:r>
      <w:r>
        <w:rPr>
          <w:rStyle w:val="VerbatimChar"/>
        </w:rPr>
        <w:t xml:space="preserve"> broom          1.0.8    2025-03-28 [1] CRAN (R 4.5.0)</w:t>
      </w:r>
      <w:r>
        <w:br/>
      </w:r>
      <w:r>
        <w:rPr>
          <w:rStyle w:val="VerbatimChar"/>
        </w:rPr>
        <w:t xml:space="preserve"> cachem         1.1.0    2024-05-16 [1] CRAN (R 4.5.0)</w:t>
      </w:r>
      <w:r>
        <w:br/>
      </w:r>
      <w:r>
        <w:rPr>
          <w:rStyle w:val="VerbatimChar"/>
        </w:rPr>
        <w:t xml:space="preserve"> car            3.1-3    2024-09-27 [1] CRAN (R 4.5.0)</w:t>
      </w:r>
      <w:r>
        <w:br/>
      </w:r>
      <w:r>
        <w:rPr>
          <w:rStyle w:val="VerbatimChar"/>
        </w:rPr>
        <w:t xml:space="preserve"> carData        3.0-5    2022-01-06 [1] CRAN (R 4.5.0)</w:t>
      </w:r>
      <w:r>
        <w:br/>
      </w:r>
      <w:r>
        <w:rPr>
          <w:rStyle w:val="VerbatimChar"/>
        </w:rPr>
        <w:t xml:space="preserve"> cellranger     1.1.0    2016-07-27 [1] CRAN (R 4.5.0)</w:t>
      </w:r>
      <w:r>
        <w:br/>
      </w:r>
      <w:r>
        <w:rPr>
          <w:rStyle w:val="VerbatimChar"/>
        </w:rPr>
        <w:t xml:space="preserve"> checkmate      2.3.2    2024-07-29 [1] CRAN (R 4.5.0)</w:t>
      </w:r>
      <w:r>
        <w:br/>
      </w:r>
      <w:r>
        <w:rPr>
          <w:rStyle w:val="VerbatimChar"/>
        </w:rPr>
        <w:t xml:space="preserve"> circular     * 0.5-1    2024-08-29 [1] CRAN (R 4.5.0)</w:t>
      </w:r>
      <w:r>
        <w:br/>
      </w:r>
      <w:r>
        <w:rPr>
          <w:rStyle w:val="VerbatimChar"/>
        </w:rPr>
        <w:t xml:space="preserve"> cli            3.6.5    2025-04-23 [1] CRAN (R 4.5.0)</w:t>
      </w:r>
      <w:r>
        <w:br/>
      </w:r>
      <w:r>
        <w:rPr>
          <w:rStyle w:val="VerbatimChar"/>
        </w:rPr>
        <w:t xml:space="preserve"> cluster        2.1.8.1  2025-03-12 [1] CRAN (R 4.5.1)</w:t>
      </w:r>
      <w:r>
        <w:br/>
      </w:r>
      <w:r>
        <w:rPr>
          <w:rStyle w:val="VerbatimChar"/>
        </w:rPr>
        <w:t xml:space="preserve"> colorspace     2.1-1    2024-07-26 [1] CRAN (R 4.5.0)</w:t>
      </w:r>
      <w:r>
        <w:br/>
      </w:r>
      <w:r>
        <w:rPr>
          <w:rStyle w:val="VerbatimChar"/>
        </w:rPr>
        <w:t xml:space="preserve"> compositions   2.0-8    2024-01-31 [1] CRAN (R 4.5.0)</w:t>
      </w:r>
      <w:r>
        <w:br/>
      </w:r>
      <w:r>
        <w:rPr>
          <w:rStyle w:val="VerbatimChar"/>
        </w:rPr>
        <w:t xml:space="preserve"> cowplot      * 1.1.3    2024-01-22 [1] CRAN (R 4.5.0)</w:t>
      </w:r>
      <w:r>
        <w:br/>
      </w:r>
      <w:r>
        <w:rPr>
          <w:rStyle w:val="VerbatimChar"/>
        </w:rPr>
        <w:t xml:space="preserve"> crayon         1.5.3    2024-06-20 [1] CRAN (R 4.5.0)</w:t>
      </w:r>
      <w:r>
        <w:br/>
      </w:r>
      <w:r>
        <w:rPr>
          <w:rStyle w:val="VerbatimChar"/>
        </w:rPr>
        <w:t xml:space="preserve"> data.table   * 1.17.0   2025-02-22 [1] CRAN (R 4.5.0)</w:t>
      </w:r>
      <w:r>
        <w:br/>
      </w:r>
      <w:r>
        <w:rPr>
          <w:rStyle w:val="VerbatimChar"/>
        </w:rPr>
        <w:t xml:space="preserve"> DEoptimR       1.1-3-1  2024-11-23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extrafont      0.19     2023-01-18 [1] CRAN (R 4.5.0)</w:t>
      </w:r>
      <w:r>
        <w:br/>
      </w:r>
      <w:r>
        <w:rPr>
          <w:rStyle w:val="VerbatimChar"/>
        </w:rPr>
        <w:t xml:space="preserve"> extrafontdb    1.0      2012-06-11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forcats      * 1.0.0    2023-01-29 [1] CRAN (R 4.5.0)</w:t>
      </w:r>
      <w:r>
        <w:br/>
      </w:r>
      <w:r>
        <w:rPr>
          <w:rStyle w:val="VerbatimChar"/>
        </w:rPr>
        <w:t xml:space="preserve"> foreign        0.8-90   2025-03-31 [1] CRAN (R 4.5.1)</w:t>
      </w:r>
      <w:r>
        <w:br/>
      </w:r>
      <w:r>
        <w:rPr>
          <w:rStyle w:val="VerbatimChar"/>
        </w:rPr>
        <w:t xml:space="preserve"> Formula        1.2-5    2023-02-24 [1] CRAN (R 4.5.0)</w:t>
      </w:r>
      <w:r>
        <w:br/>
      </w:r>
      <w:r>
        <w:rPr>
          <w:rStyle w:val="VerbatimChar"/>
        </w:rPr>
        <w:t xml:space="preserve"> fs             1.6.6    2025-04-12 [1] CRAN (R 4.5.0)</w:t>
      </w:r>
      <w:r>
        <w:br/>
      </w:r>
      <w:r>
        <w:rPr>
          <w:rStyle w:val="VerbatimChar"/>
        </w:rPr>
        <w:t xml:space="preserve"> generics       0.1.3    2022-07-05 [1] CRAN (R 4.5.0)</w:t>
      </w:r>
      <w:r>
        <w:br/>
      </w:r>
      <w:r>
        <w:rPr>
          <w:rStyle w:val="VerbatimChar"/>
        </w:rPr>
        <w:t xml:space="preserve"> ggalt        * 0.4.0    2017-02-15 [1] CRAN (R 4.5.0)</w:t>
      </w:r>
      <w:r>
        <w:br/>
      </w:r>
      <w:r>
        <w:rPr>
          <w:rStyle w:val="VerbatimChar"/>
        </w:rPr>
        <w:t xml:space="preserve"> ggcorrplot   * 0.1.4.1  2023-09-05 [1] CRAN (R 4.5.0)</w:t>
      </w:r>
      <w:r>
        <w:br/>
      </w:r>
      <w:r>
        <w:rPr>
          <w:rStyle w:val="VerbatimChar"/>
        </w:rPr>
        <w:t xml:space="preserve"> ggplot2      * 3.5.2    2025-04-09 [1] CRAN (R 4.5.0)</w:t>
      </w:r>
      <w:r>
        <w:br/>
      </w:r>
      <w:r>
        <w:rPr>
          <w:rStyle w:val="VerbatimChar"/>
        </w:rPr>
        <w:t xml:space="preserve"> ggpubr       * 0.6.0    2023-02-10 [1] CRAN (R 4.5.0)</w:t>
      </w:r>
      <w:r>
        <w:br/>
      </w:r>
      <w:r>
        <w:rPr>
          <w:rStyle w:val="VerbatimChar"/>
        </w:rPr>
        <w:t xml:space="preserve"> ggrepel      * 0.9.6    2024-09-07 [1] CRAN (R 4.5.0)</w:t>
      </w:r>
      <w:r>
        <w:br/>
      </w:r>
      <w:r>
        <w:rPr>
          <w:rStyle w:val="VerbatimChar"/>
        </w:rPr>
        <w:t xml:space="preserve"> ggsignif       0.6.4    2022-10-13 [1] CRAN (R 4.5.0)</w:t>
      </w:r>
      <w:r>
        <w:br/>
      </w:r>
      <w:r>
        <w:rPr>
          <w:rStyle w:val="VerbatimChar"/>
        </w:rPr>
        <w:t xml:space="preserve"> ggtern       * 3.5.0    2024-03-24 [1] CRAN (R 4.5.0)</w:t>
      </w:r>
      <w:r>
        <w:br/>
      </w:r>
      <w:r>
        <w:rPr>
          <w:rStyle w:val="VerbatimChar"/>
        </w:rPr>
        <w:t xml:space="preserve"> ggtext       * 0.1.2    2022-09-16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gridtext       0.1.5    2022-09-16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hexbin         1.28.5   2024-11-13 [1] CRAN (R 4.5.0)</w:t>
      </w:r>
      <w:r>
        <w:br/>
      </w:r>
      <w:r>
        <w:rPr>
          <w:rStyle w:val="VerbatimChar"/>
        </w:rPr>
        <w:t xml:space="preserve"> Hmisc        * 5.2-3    2025-03-16 [1] CRAN (R 4.5.0)</w:t>
      </w:r>
      <w:r>
        <w:br/>
      </w:r>
      <w:r>
        <w:rPr>
          <w:rStyle w:val="VerbatimChar"/>
        </w:rPr>
        <w:t xml:space="preserve"> hms            1.1.3    2023-03-21 [1] CRAN (R 4.5.0)</w:t>
      </w:r>
      <w:r>
        <w:br/>
      </w:r>
      <w:r>
        <w:rPr>
          <w:rStyle w:val="VerbatimChar"/>
        </w:rPr>
        <w:t xml:space="preserve"> htmlTable      2.4.3    2024-07-21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jsonlite       2.0.0    2025-03-27 [1] CRAN (R 4.5.0)</w:t>
      </w:r>
      <w:r>
        <w:br/>
      </w:r>
      <w:r>
        <w:rPr>
          <w:rStyle w:val="VerbatimChar"/>
        </w:rPr>
        <w:t xml:space="preserve"> KernSmooth     2.23-26  2025-01-01 [1] CRAN (R 4.5.1)</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latex2exp      0.9.6    2022-11-28 [1] CRAN (R 4.5.0)</w:t>
      </w:r>
      <w:r>
        <w:br/>
      </w:r>
      <w:r>
        <w:rPr>
          <w:rStyle w:val="VerbatimChar"/>
        </w:rPr>
        <w:t xml:space="preserve"> lattice        0.22-7   2025-04-02 [1] CRAN (R 4.5.1)</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magrittr       2.0.3    2022-03-30 [1] CRAN (R 4.5.0)</w:t>
      </w:r>
      <w:r>
        <w:br/>
      </w:r>
      <w:r>
        <w:rPr>
          <w:rStyle w:val="VerbatimChar"/>
        </w:rPr>
        <w:t xml:space="preserve"> maps           3.4.2.1  2024-11-10 [1] CRAN (R 4.5.0)</w:t>
      </w:r>
      <w:r>
        <w:br/>
      </w:r>
      <w:r>
        <w:rPr>
          <w:rStyle w:val="VerbatimChar"/>
        </w:rPr>
        <w:t xml:space="preserve"> MASS           7.3-65   2025-02-28 [1] CRAN (R 4.5.1)</w:t>
      </w:r>
      <w:r>
        <w:br/>
      </w:r>
      <w:r>
        <w:rPr>
          <w:rStyle w:val="VerbatimChar"/>
        </w:rPr>
        <w:t xml:space="preserve"> Matrix         1.7-3    2025-03-11 [1] CRAN (R 4.5.1)</w:t>
      </w:r>
      <w:r>
        <w:br/>
      </w:r>
      <w:r>
        <w:rPr>
          <w:rStyle w:val="VerbatimChar"/>
        </w:rPr>
        <w:t xml:space="preserve"> memoise        2.0.1    2021-11-26 [1] CRAN (R 4.5.0)</w:t>
      </w:r>
      <w:r>
        <w:br/>
      </w:r>
      <w:r>
        <w:rPr>
          <w:rStyle w:val="VerbatimChar"/>
        </w:rPr>
        <w:t xml:space="preserve"> mgcv           1.9-3    2025-04-04 [1] CRAN (R 4.5.1)</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mvtnorm        1.3-3    2025-01-10 [1] CRAN (R 4.5.0)</w:t>
      </w:r>
      <w:r>
        <w:br/>
      </w:r>
      <w:r>
        <w:rPr>
          <w:rStyle w:val="VerbatimChar"/>
        </w:rPr>
        <w:t xml:space="preserve"> NISTunits    * 1.0.1    2016-08-11 [1] CRAN (R 4.5.0)</w:t>
      </w:r>
      <w:r>
        <w:br/>
      </w:r>
      <w:r>
        <w:rPr>
          <w:rStyle w:val="VerbatimChar"/>
        </w:rPr>
        <w:t xml:space="preserve"> nlme           3.1-168  2025-03-31 [1] CRAN (R 4.5.1)</w:t>
      </w:r>
      <w:r>
        <w:br/>
      </w:r>
      <w:r>
        <w:rPr>
          <w:rStyle w:val="VerbatimChar"/>
        </w:rPr>
        <w:t xml:space="preserve"> nnet           7.3-20   2025-01-01 [1] CRAN (R 4.5.1)</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plyr           1.8.9    2023-10-02 [1] CRAN (R 4.5.0)</w:t>
      </w:r>
      <w:r>
        <w:br/>
      </w:r>
      <w:r>
        <w:rPr>
          <w:rStyle w:val="VerbatimChar"/>
        </w:rPr>
        <w:t xml:space="preserve"> png            0.1-8    2022-11-29 [1] CRAN (R 4.5.0)</w:t>
      </w:r>
      <w:r>
        <w:br/>
      </w:r>
      <w:r>
        <w:rPr>
          <w:rStyle w:val="VerbatimChar"/>
        </w:rPr>
        <w:t xml:space="preserve"> profvis        0.4.0    2024-09-20 [1] CRAN (R 4.5.0)</w:t>
      </w:r>
      <w:r>
        <w:br/>
      </w:r>
      <w:r>
        <w:rPr>
          <w:rStyle w:val="VerbatimChar"/>
        </w:rPr>
        <w:t xml:space="preserve"> proj4          1.0-15   2025-03-21 [1] CRAN (R 4.5.0)</w:t>
      </w:r>
      <w:r>
        <w:br/>
      </w:r>
      <w:r>
        <w:rPr>
          <w:rStyle w:val="VerbatimChar"/>
        </w:rPr>
        <w:t xml:space="preserve"> promises       1.3.2    2024-11-28 [1] CRAN (R 4.5.0)</w:t>
      </w:r>
      <w:r>
        <w:br/>
      </w:r>
      <w:r>
        <w:rPr>
          <w:rStyle w:val="VerbatimChar"/>
        </w:rPr>
        <w:t xml:space="preserve"> proto          1.0.0    2016-10-29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RColorBrewer   1.1-3    2022-04-03 [1] CRAN (R 4.5.0)</w:t>
      </w:r>
      <w:r>
        <w:br/>
      </w:r>
      <w:r>
        <w:rPr>
          <w:rStyle w:val="VerbatimChar"/>
        </w:rPr>
        <w:t xml:space="preserve"> Rcpp           1.1.0    2025-07-02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reshape2     * 1.4.4    2020-04-09 [1] CRAN (R 4.5.0)</w:t>
      </w:r>
      <w:r>
        <w:br/>
      </w:r>
      <w:r>
        <w:rPr>
          <w:rStyle w:val="VerbatimChar"/>
        </w:rPr>
        <w:t xml:space="preserve"> rlang          1.1.6    2025-04-11 [1] CRAN (R 4.5.0)</w:t>
      </w:r>
      <w:r>
        <w:br/>
      </w:r>
      <w:r>
        <w:rPr>
          <w:rStyle w:val="VerbatimChar"/>
        </w:rPr>
        <w:t xml:space="preserve"> rmarkdown      2.29     2024-11-04 [1] CRAN (R 4.5.0)</w:t>
      </w:r>
      <w:r>
        <w:br/>
      </w:r>
      <w:r>
        <w:rPr>
          <w:rStyle w:val="VerbatimChar"/>
        </w:rPr>
        <w:t xml:space="preserve"> robustbase     0.99-4-1 2024-09-27 [1] CRAN (R 4.5.0)</w:t>
      </w:r>
      <w:r>
        <w:br/>
      </w:r>
      <w:r>
        <w:rPr>
          <w:rStyle w:val="VerbatimChar"/>
        </w:rPr>
        <w:t xml:space="preserve"> rpart          4.1.24   2025-01-07 [1] CRAN (R 4.5.1)</w:t>
      </w:r>
      <w:r>
        <w:br/>
      </w:r>
      <w:r>
        <w:rPr>
          <w:rStyle w:val="VerbatimChar"/>
        </w:rPr>
        <w:t xml:space="preserve"> rprojroot      2.0.4    2023-11-05 [1] CRAN (R 4.5.0)</w:t>
      </w:r>
      <w:r>
        <w:br/>
      </w:r>
      <w:r>
        <w:rPr>
          <w:rStyle w:val="VerbatimChar"/>
        </w:rPr>
        <w:t xml:space="preserve"> rstatix        0.7.2    2023-02-01 [1] CRAN (R 4.5.0)</w:t>
      </w:r>
      <w:r>
        <w:br/>
      </w:r>
      <w:r>
        <w:rPr>
          <w:rStyle w:val="VerbatimChar"/>
        </w:rPr>
        <w:t xml:space="preserve"> rstudioapi     0.17.1   2024-10-22 [1] CRAN (R 4.5.0)</w:t>
      </w:r>
      <w:r>
        <w:br/>
      </w:r>
      <w:r>
        <w:rPr>
          <w:rStyle w:val="VerbatimChar"/>
        </w:rPr>
        <w:t xml:space="preserve"> Rttf2pt1       1.3.12   2023-01-22 [1] CRAN (R 4.5.0)</w:t>
      </w:r>
      <w:r>
        <w:br/>
      </w:r>
      <w:r>
        <w:rPr>
          <w:rStyle w:val="VerbatimChar"/>
        </w:rPr>
        <w:t xml:space="preserve"> scales         1.4.0    2025-04-24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stringi        1.8.7    2025-03-27 [1] CRAN (R 4.5.0)</w:t>
      </w:r>
      <w:r>
        <w:br/>
      </w:r>
      <w:r>
        <w:rPr>
          <w:rStyle w:val="VerbatimChar"/>
        </w:rPr>
        <w:t xml:space="preserve"> stringr      * 1.5.1    2023-11-14 [1] CRAN (R 4.5.0)</w:t>
      </w:r>
      <w:r>
        <w:br/>
      </w:r>
      <w:r>
        <w:rPr>
          <w:rStyle w:val="VerbatimChar"/>
        </w:rPr>
        <w:t xml:space="preserve"> tensorA        0.36.2.1 2023-12-13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vctrs          0.6.5    2023-12-01 [1] CRAN (R 4.5.0)</w:t>
      </w:r>
      <w:r>
        <w:br/>
      </w:r>
      <w:r>
        <w:rPr>
          <w:rStyle w:val="VerbatimChar"/>
        </w:rPr>
        <w:t xml:space="preserve"> vroom          1.6.5    2023-12-05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xml2           1.3.8    2025-03-14 [1] CRAN (R 4.5.0)</w:t>
      </w:r>
      <w:r>
        <w:br/>
      </w:r>
      <w:r>
        <w:rPr>
          <w:rStyle w:val="VerbatimChar"/>
        </w:rPr>
        <w:t xml:space="preserve"> xtable         1.8-4    2019-04-21 [1] CRAN (R 4.5.0)</w:t>
      </w:r>
      <w:r>
        <w:br/>
      </w:r>
      <w:r>
        <w:rPr>
          <w:rStyle w:val="VerbatimChar"/>
        </w:rPr>
        <w:t xml:space="preserve"> yaml           2.3.10   2024-07-26 [1] CRAN (R 4.5.0)</w:t>
      </w:r>
      <w:r>
        <w:br/>
      </w:r>
      <w:r>
        <w:br/>
      </w:r>
      <w:r>
        <w:rPr>
          <w:rStyle w:val="VerbatimChar"/>
        </w:rPr>
        <w:t xml:space="preserve"> [1] /Library/Frameworks/R.framework/Versions/4.5-arm64/Resources/library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/Users/bmarwick/Downloads/QSY-Spheroids-Study</w:t>
      </w:r>
      <w:r>
        <w:br/>
      </w:r>
      <w:r>
        <w:rPr>
          <w:rStyle w:val="VerbatimChar"/>
        </w:rPr>
        <w:t xml:space="preserve">Remote:   main @ origin (https://github.com/zhiye0927/QSY-Spheroids-Study)</w:t>
      </w:r>
      <w:r>
        <w:br/>
      </w:r>
      <w:r>
        <w:rPr>
          <w:rStyle w:val="VerbatimChar"/>
        </w:rPr>
        <w:t xml:space="preserve">Head:     [5979739] 2025-08-13: Merge branch 'main' of https://github.com/zhiye0927/QSY-Spheroids-Study</w:t>
      </w:r>
    </w:p>
    <w:bookmarkEnd w:id="198"/>
    <w:bookmarkEnd w:id="199"/>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58" Target="media/rId58.png" /><Relationship Type="http://schemas.openxmlformats.org/officeDocument/2006/relationships/image" Id="rId39" Target="media/rId39.png" /><Relationship Type="http://schemas.openxmlformats.org/officeDocument/2006/relationships/image" Id="rId23" Target="media/rId23.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54" Target="media/rId54.png" /><Relationship Type="http://schemas.openxmlformats.org/officeDocument/2006/relationships/image" Id="rId79" Target="media/rId79.png" /><Relationship Type="http://schemas.openxmlformats.org/officeDocument/2006/relationships/image" Id="rId75" Target="media/rId75.png" /><Relationship Type="http://schemas.openxmlformats.org/officeDocument/2006/relationships/image" Id="rId33" Target="media/rId33.png" /><Relationship Type="http://schemas.openxmlformats.org/officeDocument/2006/relationships/image" Id="rId71" Target="media/rId71.png" /><Relationship Type="http://schemas.openxmlformats.org/officeDocument/2006/relationships/image" Id="rId85" Target="media/rId85.png" /><Relationship Type="http://schemas.openxmlformats.org/officeDocument/2006/relationships/hyperlink" Id="rId185" Target="https://doi.org/10.1002/evan.21813" TargetMode="External" /><Relationship Type="http://schemas.openxmlformats.org/officeDocument/2006/relationships/hyperlink" Id="rId155" Target="https://doi.org/10.1006/jasc.1996.0152" TargetMode="External" /><Relationship Type="http://schemas.openxmlformats.org/officeDocument/2006/relationships/hyperlink" Id="rId167" Target="https://doi.org/10.1007/s10816-017-9339-x" TargetMode="External" /><Relationship Type="http://schemas.openxmlformats.org/officeDocument/2006/relationships/hyperlink" Id="rId99" Target="https://doi.org/10.1007/s41982-024-00195-x" TargetMode="External" /><Relationship Type="http://schemas.openxmlformats.org/officeDocument/2006/relationships/hyperlink" Id="rId141" Target="https://doi.org/10.1016/j.jaa.2004.12.001" TargetMode="External" /><Relationship Type="http://schemas.openxmlformats.org/officeDocument/2006/relationships/hyperlink" Id="rId150" Target="https://doi.org/10.1016/j.palaeo.2019.05.014" TargetMode="External" /><Relationship Type="http://schemas.openxmlformats.org/officeDocument/2006/relationships/hyperlink" Id="rId146" Target="https://doi.org/10.1016/j.quaint.2025.109681" TargetMode="External" /><Relationship Type="http://schemas.openxmlformats.org/officeDocument/2006/relationships/hyperlink" Id="rId193" Target="https://doi.org/10.1038/35096551" TargetMode="External" /><Relationship Type="http://schemas.openxmlformats.org/officeDocument/2006/relationships/hyperlink" Id="rId195" Target="https://doi.org/10.1038/nature02829" TargetMode="External" /><Relationship Type="http://schemas.openxmlformats.org/officeDocument/2006/relationships/hyperlink" Id="rId113" Target="https://doi.org/10.1038/s41598-021-04181-z" TargetMode="External" /><Relationship Type="http://schemas.openxmlformats.org/officeDocument/2006/relationships/hyperlink" Id="rId95" Target="https://doi.org/10.1073/pnas.1221285110" TargetMode="External" /><Relationship Type="http://schemas.openxmlformats.org/officeDocument/2006/relationships/hyperlink" Id="rId97" Target="https://doi.org/10.1073/pnas.1820177116" TargetMode="External" /><Relationship Type="http://schemas.openxmlformats.org/officeDocument/2006/relationships/hyperlink" Id="rId177" Target="https://doi.org/10.1080/00438243.1985.9979949" TargetMode="External" /><Relationship Type="http://schemas.openxmlformats.org/officeDocument/2006/relationships/hyperlink" Id="rId144" Target="https://doi.org/10.1080/01977261.2022.2103290" TargetMode="External" /><Relationship Type="http://schemas.openxmlformats.org/officeDocument/2006/relationships/hyperlink" Id="rId104" Target="https://doi.org/10.1086/422079" TargetMode="External" /><Relationship Type="http://schemas.openxmlformats.org/officeDocument/2006/relationships/hyperlink" Id="rId169" Target="https://doi.org/10.1086/624298" TargetMode="External" /><Relationship Type="http://schemas.openxmlformats.org/officeDocument/2006/relationships/hyperlink" Id="rId116" Target="https://doi.org/10.1242/dev.202251" TargetMode="External" /><Relationship Type="http://schemas.openxmlformats.org/officeDocument/2006/relationships/hyperlink" Id="rId159" Target="https://doi.org/10.1371/journal.pone.0121804" TargetMode="External" /><Relationship Type="http://schemas.openxmlformats.org/officeDocument/2006/relationships/hyperlink" Id="rId187" Target="https://doi.org/10.1371/journal.pone.0185101" TargetMode="External" /><Relationship Type="http://schemas.openxmlformats.org/officeDocument/2006/relationships/hyperlink" Id="rId153" Target="https://doi.org/10.1371/journal.pone.0187251" TargetMode="External" /><Relationship Type="http://schemas.openxmlformats.org/officeDocument/2006/relationships/hyperlink" Id="rId164" Target="https://doi.org/10.1371/journal.pone.0228290" TargetMode="External" /><Relationship Type="http://schemas.openxmlformats.org/officeDocument/2006/relationships/hyperlink" Id="rId106" Target="https://doi.org/10.2218/jls.v4i1.1682" TargetMode="External" /><Relationship Type="http://schemas.openxmlformats.org/officeDocument/2006/relationships/hyperlink" Id="rId109"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_rels/footnotes.xml.rels><?xml version="1.0" encoding="UTF-8"?><Relationships xmlns="http://schemas.openxmlformats.org/package/2006/relationships"><Relationship Type="http://schemas.openxmlformats.org/officeDocument/2006/relationships/hyperlink" Id="rId185" Target="https://doi.org/10.1002/evan.21813" TargetMode="External" /><Relationship Type="http://schemas.openxmlformats.org/officeDocument/2006/relationships/hyperlink" Id="rId155" Target="https://doi.org/10.1006/jasc.1996.0152" TargetMode="External" /><Relationship Type="http://schemas.openxmlformats.org/officeDocument/2006/relationships/hyperlink" Id="rId167" Target="https://doi.org/10.1007/s10816-017-9339-x" TargetMode="External" /><Relationship Type="http://schemas.openxmlformats.org/officeDocument/2006/relationships/hyperlink" Id="rId99" Target="https://doi.org/10.1007/s41982-024-00195-x" TargetMode="External" /><Relationship Type="http://schemas.openxmlformats.org/officeDocument/2006/relationships/hyperlink" Id="rId141" Target="https://doi.org/10.1016/j.jaa.2004.12.001" TargetMode="External" /><Relationship Type="http://schemas.openxmlformats.org/officeDocument/2006/relationships/hyperlink" Id="rId150" Target="https://doi.org/10.1016/j.palaeo.2019.05.014" TargetMode="External" /><Relationship Type="http://schemas.openxmlformats.org/officeDocument/2006/relationships/hyperlink" Id="rId146" Target="https://doi.org/10.1016/j.quaint.2025.109681" TargetMode="External" /><Relationship Type="http://schemas.openxmlformats.org/officeDocument/2006/relationships/hyperlink" Id="rId193" Target="https://doi.org/10.1038/35096551" TargetMode="External" /><Relationship Type="http://schemas.openxmlformats.org/officeDocument/2006/relationships/hyperlink" Id="rId195" Target="https://doi.org/10.1038/nature02829" TargetMode="External" /><Relationship Type="http://schemas.openxmlformats.org/officeDocument/2006/relationships/hyperlink" Id="rId113" Target="https://doi.org/10.1038/s41598-021-04181-z" TargetMode="External" /><Relationship Type="http://schemas.openxmlformats.org/officeDocument/2006/relationships/hyperlink" Id="rId95" Target="https://doi.org/10.1073/pnas.1221285110" TargetMode="External" /><Relationship Type="http://schemas.openxmlformats.org/officeDocument/2006/relationships/hyperlink" Id="rId97" Target="https://doi.org/10.1073/pnas.1820177116" TargetMode="External" /><Relationship Type="http://schemas.openxmlformats.org/officeDocument/2006/relationships/hyperlink" Id="rId177" Target="https://doi.org/10.1080/00438243.1985.9979949" TargetMode="External" /><Relationship Type="http://schemas.openxmlformats.org/officeDocument/2006/relationships/hyperlink" Id="rId144" Target="https://doi.org/10.1080/01977261.2022.2103290" TargetMode="External" /><Relationship Type="http://schemas.openxmlformats.org/officeDocument/2006/relationships/hyperlink" Id="rId104" Target="https://doi.org/10.1086/422079" TargetMode="External" /><Relationship Type="http://schemas.openxmlformats.org/officeDocument/2006/relationships/hyperlink" Id="rId169" Target="https://doi.org/10.1086/624298" TargetMode="External" /><Relationship Type="http://schemas.openxmlformats.org/officeDocument/2006/relationships/hyperlink" Id="rId116" Target="https://doi.org/10.1242/dev.202251" TargetMode="External" /><Relationship Type="http://schemas.openxmlformats.org/officeDocument/2006/relationships/hyperlink" Id="rId159" Target="https://doi.org/10.1371/journal.pone.0121804" TargetMode="External" /><Relationship Type="http://schemas.openxmlformats.org/officeDocument/2006/relationships/hyperlink" Id="rId187" Target="https://doi.org/10.1371/journal.pone.0185101" TargetMode="External" /><Relationship Type="http://schemas.openxmlformats.org/officeDocument/2006/relationships/hyperlink" Id="rId153" Target="https://doi.org/10.1371/journal.pone.0187251" TargetMode="External" /><Relationship Type="http://schemas.openxmlformats.org/officeDocument/2006/relationships/hyperlink" Id="rId164" Target="https://doi.org/10.1371/journal.pone.0228290" TargetMode="External" /><Relationship Type="http://schemas.openxmlformats.org/officeDocument/2006/relationships/hyperlink" Id="rId106" Target="https://doi.org/10.2218/jls.v4i1.1682" TargetMode="External" /><Relationship Type="http://schemas.openxmlformats.org/officeDocument/2006/relationships/hyperlink" Id="rId109"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Yi Zhe2,✉, Ben Marwick1,✉, Li Hao2, and Shuwen Pei2</dc:creator>
  <cp:keywords/>
  <dcterms:created xsi:type="dcterms:W3CDTF">2025-08-13T21:17:48Z</dcterms:created>
  <dcterms:modified xsi:type="dcterms:W3CDTF">2025-08-13T21:17:48Z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August 13,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